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43" w:rsidRDefault="00175350" w:rsidP="007B3E43">
      <w:pPr>
        <w:pStyle w:val="Heading1"/>
        <w:rPr>
          <w:color w:val="0000FF"/>
        </w:rPr>
      </w:pPr>
      <w:bookmarkStart w:id="0" w:name="_GoBack"/>
      <w:bookmarkEnd w:id="0"/>
      <w:r>
        <w:rPr>
          <w:color w:val="0000FF"/>
        </w:rPr>
        <w:t xml:space="preserve">  </w:t>
      </w:r>
      <w:r w:rsidR="00DC50F6">
        <w:rPr>
          <w:color w:val="0000FF"/>
        </w:rPr>
        <w:t xml:space="preserve"> </w:t>
      </w:r>
      <w:r w:rsidR="00374387">
        <w:rPr>
          <w:color w:val="0000FF"/>
        </w:rPr>
        <w:t>EC</w:t>
      </w:r>
      <w:r w:rsidR="00A23492">
        <w:rPr>
          <w:color w:val="0000FF"/>
        </w:rPr>
        <w:t xml:space="preserve">ON </w:t>
      </w:r>
      <w:r w:rsidR="00374387">
        <w:rPr>
          <w:color w:val="0000FF"/>
        </w:rPr>
        <w:t xml:space="preserve">6470 </w:t>
      </w:r>
      <w:r w:rsidR="00374387">
        <w:rPr>
          <w:color w:val="0000FF"/>
        </w:rPr>
        <w:tab/>
      </w:r>
      <w:r w:rsidR="00E262CD">
        <w:rPr>
          <w:color w:val="0000FF"/>
        </w:rPr>
        <w:t xml:space="preserve"> </w:t>
      </w:r>
      <w:r w:rsidR="00374387">
        <w:rPr>
          <w:color w:val="0000FF"/>
        </w:rPr>
        <w:t xml:space="preserve">Economic Growth and Development </w:t>
      </w:r>
      <w:r w:rsidR="00081985">
        <w:rPr>
          <w:color w:val="0000FF"/>
        </w:rPr>
        <w:t>Midterm</w:t>
      </w:r>
      <w:r w:rsidR="00FC0136">
        <w:rPr>
          <w:color w:val="0000FF"/>
        </w:rPr>
        <w:t xml:space="preserve"> </w:t>
      </w:r>
      <w:r w:rsidR="006E38E0">
        <w:rPr>
          <w:color w:val="0000FF"/>
        </w:rPr>
        <w:t>v</w:t>
      </w:r>
      <w:r w:rsidR="00DF1DF1">
        <w:rPr>
          <w:color w:val="0000FF"/>
        </w:rPr>
        <w:t>ersion</w:t>
      </w:r>
      <w:r>
        <w:rPr>
          <w:color w:val="0000FF"/>
        </w:rPr>
        <w:t xml:space="preserve"> </w:t>
      </w:r>
      <w:r w:rsidR="00855B33">
        <w:rPr>
          <w:color w:val="0000FF"/>
        </w:rPr>
        <w:t>2</w:t>
      </w:r>
      <w:r w:rsidR="00FC0136">
        <w:rPr>
          <w:color w:val="0000FF"/>
        </w:rPr>
        <w:t xml:space="preserve">    </w:t>
      </w:r>
      <w:r w:rsidR="00A43B9D">
        <w:rPr>
          <w:color w:val="0000FF"/>
        </w:rPr>
        <w:t xml:space="preserve"> </w:t>
      </w:r>
      <w:r w:rsidR="00F83B30">
        <w:rPr>
          <w:color w:val="0000FF"/>
        </w:rPr>
        <w:t xml:space="preserve">  </w:t>
      </w:r>
      <w:r w:rsidR="00677116">
        <w:rPr>
          <w:color w:val="0000FF"/>
        </w:rPr>
        <w:t xml:space="preserve">   </w:t>
      </w:r>
      <w:r w:rsidR="00DF1DF1">
        <w:rPr>
          <w:color w:val="0000FF"/>
        </w:rPr>
        <w:t xml:space="preserve"> </w:t>
      </w:r>
      <w:r w:rsidR="00C74280">
        <w:rPr>
          <w:color w:val="0000FF"/>
        </w:rPr>
        <w:t xml:space="preserve">Spring </w:t>
      </w:r>
      <w:r w:rsidR="00374387">
        <w:rPr>
          <w:color w:val="0000FF"/>
        </w:rPr>
        <w:t>20</w:t>
      </w:r>
      <w:r w:rsidR="00206012">
        <w:rPr>
          <w:color w:val="0000FF"/>
        </w:rPr>
        <w:t>1</w:t>
      </w:r>
      <w:r w:rsidR="00E174A5">
        <w:rPr>
          <w:color w:val="0000FF"/>
        </w:rPr>
        <w:t>7</w:t>
      </w:r>
    </w:p>
    <w:p w:rsidR="005C1F83" w:rsidRDefault="005C1F83" w:rsidP="007B3E43">
      <w:pPr>
        <w:rPr>
          <w:sz w:val="22"/>
          <w:szCs w:val="22"/>
        </w:rPr>
      </w:pPr>
    </w:p>
    <w:p w:rsidR="00CB5D1A" w:rsidRPr="00DF1DF1" w:rsidRDefault="00B7091E" w:rsidP="007B3E43">
      <w:pPr>
        <w:rPr>
          <w:b/>
          <w:iCs/>
          <w:color w:val="800000"/>
          <w:sz w:val="22"/>
          <w:szCs w:val="22"/>
        </w:rPr>
      </w:pPr>
      <w:r>
        <w:rPr>
          <w:sz w:val="22"/>
          <w:szCs w:val="22"/>
        </w:rPr>
        <w:t>Turn in each essay separately using th</w:t>
      </w:r>
      <w:r w:rsidR="00855B33">
        <w:rPr>
          <w:sz w:val="22"/>
          <w:szCs w:val="22"/>
        </w:rPr>
        <w:t>e</w:t>
      </w:r>
      <w:r>
        <w:rPr>
          <w:sz w:val="22"/>
          <w:szCs w:val="22"/>
        </w:rPr>
        <w:t xml:space="preserve"> word template (</w:t>
      </w:r>
      <w:r w:rsidR="00855B33">
        <w:rPr>
          <w:sz w:val="22"/>
          <w:szCs w:val="22"/>
        </w:rPr>
        <w:t xml:space="preserve">leave out </w:t>
      </w:r>
      <w:r>
        <w:rPr>
          <w:sz w:val="22"/>
          <w:szCs w:val="22"/>
        </w:rPr>
        <w:t xml:space="preserve">question/sections you are not answering).  Please turn your answer to </w:t>
      </w:r>
      <w:r w:rsidR="00F33842" w:rsidRPr="00DF1DF1">
        <w:rPr>
          <w:sz w:val="22"/>
          <w:szCs w:val="22"/>
        </w:rPr>
        <w:t>question M</w:t>
      </w:r>
      <w:r w:rsidR="00DA24B5">
        <w:rPr>
          <w:sz w:val="22"/>
          <w:szCs w:val="22"/>
        </w:rPr>
        <w:t>Q</w:t>
      </w:r>
      <w:r w:rsidR="00F33842" w:rsidRPr="00DF1DF1">
        <w:rPr>
          <w:sz w:val="22"/>
          <w:szCs w:val="22"/>
        </w:rPr>
        <w:t>-1</w:t>
      </w:r>
      <w:r w:rsidR="00DA24B5">
        <w:rPr>
          <w:sz w:val="22"/>
          <w:szCs w:val="22"/>
        </w:rPr>
        <w:t xml:space="preserve"> or </w:t>
      </w:r>
      <w:r w:rsidR="00DA24B5" w:rsidRPr="00DF1DF1">
        <w:rPr>
          <w:sz w:val="22"/>
          <w:szCs w:val="22"/>
        </w:rPr>
        <w:t>M</w:t>
      </w:r>
      <w:r w:rsidR="00DA24B5">
        <w:rPr>
          <w:sz w:val="22"/>
          <w:szCs w:val="22"/>
        </w:rPr>
        <w:t>Q</w:t>
      </w:r>
      <w:r w:rsidR="00DA24B5" w:rsidRPr="00DF1DF1">
        <w:rPr>
          <w:sz w:val="22"/>
          <w:szCs w:val="22"/>
        </w:rPr>
        <w:t>-</w:t>
      </w:r>
      <w:r w:rsidR="00DA24B5">
        <w:rPr>
          <w:sz w:val="22"/>
          <w:szCs w:val="22"/>
        </w:rPr>
        <w:t>2 April 2</w:t>
      </w:r>
      <w:r w:rsidR="00855B33">
        <w:rPr>
          <w:sz w:val="22"/>
          <w:szCs w:val="22"/>
        </w:rPr>
        <w:t>1</w:t>
      </w:r>
      <w:r w:rsidR="00855B33" w:rsidRPr="00855B33">
        <w:rPr>
          <w:sz w:val="22"/>
          <w:szCs w:val="22"/>
          <w:vertAlign w:val="superscript"/>
        </w:rPr>
        <w:t>st</w:t>
      </w:r>
      <w:r w:rsidR="00855B33">
        <w:rPr>
          <w:sz w:val="22"/>
          <w:szCs w:val="22"/>
        </w:rPr>
        <w:t xml:space="preserve"> </w:t>
      </w:r>
      <w:r w:rsidR="00DA24B5">
        <w:rPr>
          <w:sz w:val="22"/>
          <w:szCs w:val="22"/>
        </w:rPr>
        <w:t>and your answer to MQ-3 April 2</w:t>
      </w:r>
      <w:r w:rsidR="00855B33">
        <w:rPr>
          <w:sz w:val="22"/>
          <w:szCs w:val="22"/>
        </w:rPr>
        <w:t>8</w:t>
      </w:r>
      <w:r w:rsidR="00DA24B5" w:rsidRPr="00DA24B5">
        <w:rPr>
          <w:sz w:val="22"/>
          <w:szCs w:val="22"/>
          <w:vertAlign w:val="superscript"/>
        </w:rPr>
        <w:t>th</w:t>
      </w:r>
      <w:r w:rsidR="006F6185">
        <w:rPr>
          <w:sz w:val="22"/>
          <w:szCs w:val="22"/>
        </w:rPr>
        <w:t>.</w:t>
      </w:r>
      <w:r w:rsidR="006E38E0" w:rsidRPr="00DF1DF1">
        <w:rPr>
          <w:sz w:val="22"/>
          <w:szCs w:val="22"/>
        </w:rPr>
        <w:t xml:space="preserve"> </w:t>
      </w:r>
      <w:r w:rsidR="00C203AD">
        <w:rPr>
          <w:sz w:val="22"/>
          <w:szCs w:val="22"/>
        </w:rPr>
        <w:t xml:space="preserve">Sections in italics are optional </w:t>
      </w:r>
      <w:r w:rsidR="00DA24B5">
        <w:rPr>
          <w:sz w:val="22"/>
          <w:szCs w:val="22"/>
        </w:rPr>
        <w:t xml:space="preserve">for </w:t>
      </w:r>
      <w:r w:rsidR="00C203AD">
        <w:rPr>
          <w:sz w:val="22"/>
          <w:szCs w:val="22"/>
        </w:rPr>
        <w:t>Masters or PhD</w:t>
      </w:r>
      <w:r w:rsidR="00DA24B5">
        <w:rPr>
          <w:sz w:val="22"/>
          <w:szCs w:val="22"/>
        </w:rPr>
        <w:t xml:space="preserve"> students</w:t>
      </w:r>
      <w:r w:rsidR="00C203AD">
        <w:rPr>
          <w:sz w:val="22"/>
          <w:szCs w:val="22"/>
        </w:rPr>
        <w:t xml:space="preserve">. Please </w:t>
      </w:r>
      <w:r w:rsidR="006F6185">
        <w:rPr>
          <w:sz w:val="22"/>
          <w:szCs w:val="22"/>
        </w:rPr>
        <w:t>write your an</w:t>
      </w:r>
      <w:r w:rsidR="001C1525" w:rsidRPr="00DF1DF1">
        <w:rPr>
          <w:sz w:val="22"/>
          <w:szCs w:val="22"/>
        </w:rPr>
        <w:t xml:space="preserve">swers in a separate font, single spaced, right after each question mark ? or phrase. </w:t>
      </w:r>
      <w:r w:rsidR="00855B33">
        <w:rPr>
          <w:sz w:val="22"/>
          <w:szCs w:val="22"/>
        </w:rPr>
        <w:t>Do u</w:t>
      </w:r>
      <w:r w:rsidR="006F6185">
        <w:rPr>
          <w:sz w:val="22"/>
          <w:szCs w:val="22"/>
        </w:rPr>
        <w:t>se</w:t>
      </w:r>
      <w:r w:rsidR="00855B33">
        <w:rPr>
          <w:sz w:val="22"/>
          <w:szCs w:val="22"/>
        </w:rPr>
        <w:t>, quotes, n</w:t>
      </w:r>
      <w:r w:rsidR="001C1525" w:rsidRPr="00DF1DF1">
        <w:rPr>
          <w:sz w:val="22"/>
          <w:szCs w:val="22"/>
        </w:rPr>
        <w:t xml:space="preserve">umber </w:t>
      </w:r>
      <w:r w:rsidR="00855B33">
        <w:rPr>
          <w:sz w:val="22"/>
          <w:szCs w:val="22"/>
        </w:rPr>
        <w:t xml:space="preserve">and or figures from </w:t>
      </w:r>
      <w:r w:rsidR="001C1525" w:rsidRPr="00DF1DF1">
        <w:rPr>
          <w:sz w:val="22"/>
          <w:szCs w:val="22"/>
        </w:rPr>
        <w:t>lecture notes or internet</w:t>
      </w:r>
      <w:r w:rsidR="00855B33">
        <w:rPr>
          <w:sz w:val="22"/>
          <w:szCs w:val="22"/>
        </w:rPr>
        <w:t xml:space="preserve"> with attribution.  In word cut and “paste special” to get </w:t>
      </w:r>
      <w:r w:rsidR="001C1525" w:rsidRPr="00DF1DF1">
        <w:rPr>
          <w:sz w:val="22"/>
          <w:szCs w:val="22"/>
        </w:rPr>
        <w:t xml:space="preserve">jpg format </w:t>
      </w:r>
      <w:r w:rsidR="00855B33">
        <w:rPr>
          <w:sz w:val="22"/>
          <w:szCs w:val="22"/>
        </w:rPr>
        <w:t>which takes less space (See</w:t>
      </w:r>
      <w:r w:rsidR="001C1525" w:rsidRPr="00DF1DF1">
        <w:rPr>
          <w:sz w:val="22"/>
          <w:szCs w:val="22"/>
        </w:rPr>
        <w:t xml:space="preserve"> </w:t>
      </w:r>
      <w:hyperlink r:id="rId7" w:history="1">
        <w:r w:rsidR="001C1525" w:rsidRPr="00DF1DF1">
          <w:rPr>
            <w:rStyle w:val="Hyperlink"/>
            <w:sz w:val="22"/>
            <w:szCs w:val="22"/>
          </w:rPr>
          <w:t xml:space="preserve">WBI VC format </w:t>
        </w:r>
      </w:hyperlink>
      <w:r w:rsidR="001C1525" w:rsidRPr="00DF1DF1">
        <w:rPr>
          <w:sz w:val="22"/>
          <w:szCs w:val="22"/>
        </w:rPr>
        <w:t xml:space="preserve"> </w:t>
      </w:r>
      <w:r w:rsidR="00855B33">
        <w:rPr>
          <w:sz w:val="22"/>
          <w:szCs w:val="22"/>
        </w:rPr>
        <w:t xml:space="preserve">suggestions for slides and tables) </w:t>
      </w:r>
      <w:r w:rsidR="001C1525" w:rsidRPr="00DF1DF1">
        <w:rPr>
          <w:sz w:val="22"/>
          <w:szCs w:val="22"/>
        </w:rPr>
        <w:t xml:space="preserve">Include a list of references </w:t>
      </w:r>
      <w:r w:rsidR="00855B33">
        <w:rPr>
          <w:sz w:val="22"/>
          <w:szCs w:val="22"/>
        </w:rPr>
        <w:t xml:space="preserve">you cite </w:t>
      </w:r>
      <w:r w:rsidR="001C1525" w:rsidRPr="00DF1DF1">
        <w:rPr>
          <w:sz w:val="22"/>
          <w:szCs w:val="22"/>
        </w:rPr>
        <w:t>at the end of each question.  Cit</w:t>
      </w:r>
      <w:r w:rsidR="00855B33">
        <w:rPr>
          <w:sz w:val="22"/>
          <w:szCs w:val="22"/>
        </w:rPr>
        <w:t>ation can have any</w:t>
      </w:r>
      <w:r w:rsidR="001C1525" w:rsidRPr="00DF1DF1">
        <w:rPr>
          <w:sz w:val="22"/>
          <w:szCs w:val="22"/>
        </w:rPr>
        <w:t xml:space="preserve"> author</w:t>
      </w:r>
      <w:r w:rsidR="006F6185">
        <w:rPr>
          <w:sz w:val="22"/>
          <w:szCs w:val="22"/>
        </w:rPr>
        <w:t xml:space="preserve"> (</w:t>
      </w:r>
      <w:r w:rsidR="001C1525" w:rsidRPr="00DF1DF1">
        <w:rPr>
          <w:sz w:val="22"/>
          <w:szCs w:val="22"/>
        </w:rPr>
        <w:t>date,</w:t>
      </w:r>
      <w:r w:rsidR="009A7299">
        <w:rPr>
          <w:sz w:val="22"/>
          <w:szCs w:val="22"/>
        </w:rPr>
        <w:t xml:space="preserve"> </w:t>
      </w:r>
      <w:r w:rsidR="001C1525" w:rsidRPr="00DF1DF1">
        <w:rPr>
          <w:sz w:val="22"/>
          <w:szCs w:val="22"/>
        </w:rPr>
        <w:t>page</w:t>
      </w:r>
      <w:r w:rsidR="006F6185">
        <w:rPr>
          <w:sz w:val="22"/>
          <w:szCs w:val="22"/>
        </w:rPr>
        <w:t>)</w:t>
      </w:r>
      <w:r w:rsidR="001C1525" w:rsidRPr="00DF1DF1">
        <w:rPr>
          <w:sz w:val="22"/>
          <w:szCs w:val="22"/>
        </w:rPr>
        <w:t xml:space="preserve"> format. </w:t>
      </w:r>
      <w:r w:rsidR="006141CE" w:rsidRPr="00DF1DF1">
        <w:rPr>
          <w:sz w:val="22"/>
          <w:szCs w:val="22"/>
        </w:rPr>
        <w:t xml:space="preserve"> </w:t>
      </w:r>
      <w:r w:rsidR="00855B33">
        <w:rPr>
          <w:sz w:val="22"/>
          <w:szCs w:val="22"/>
        </w:rPr>
        <w:t>Make sure all f</w:t>
      </w:r>
      <w:r w:rsidR="006141CE" w:rsidRPr="00DF1DF1">
        <w:rPr>
          <w:sz w:val="22"/>
          <w:szCs w:val="22"/>
        </w:rPr>
        <w:t>igure</w:t>
      </w:r>
      <w:r w:rsidR="006F6185">
        <w:rPr>
          <w:sz w:val="22"/>
          <w:szCs w:val="22"/>
        </w:rPr>
        <w:t>s</w:t>
      </w:r>
      <w:r w:rsidR="00855B33">
        <w:rPr>
          <w:sz w:val="22"/>
          <w:szCs w:val="22"/>
        </w:rPr>
        <w:t xml:space="preserve">, equations </w:t>
      </w:r>
      <w:r w:rsidR="006F6185">
        <w:rPr>
          <w:sz w:val="22"/>
          <w:szCs w:val="22"/>
        </w:rPr>
        <w:t>and</w:t>
      </w:r>
      <w:r w:rsidR="006141CE" w:rsidRPr="00DF1DF1">
        <w:rPr>
          <w:sz w:val="22"/>
          <w:szCs w:val="22"/>
        </w:rPr>
        <w:t xml:space="preserve"> </w:t>
      </w:r>
      <w:r w:rsidR="00855B33">
        <w:rPr>
          <w:sz w:val="22"/>
          <w:szCs w:val="22"/>
        </w:rPr>
        <w:t>t</w:t>
      </w:r>
      <w:r w:rsidR="006141CE" w:rsidRPr="00DF1DF1">
        <w:rPr>
          <w:sz w:val="22"/>
          <w:szCs w:val="22"/>
        </w:rPr>
        <w:t>able</w:t>
      </w:r>
      <w:r w:rsidR="006F6185">
        <w:rPr>
          <w:sz w:val="22"/>
          <w:szCs w:val="22"/>
        </w:rPr>
        <w:t>s</w:t>
      </w:r>
      <w:r w:rsidR="006141CE" w:rsidRPr="00DF1DF1">
        <w:rPr>
          <w:sz w:val="22"/>
          <w:szCs w:val="22"/>
        </w:rPr>
        <w:t xml:space="preserve"> </w:t>
      </w:r>
      <w:r w:rsidR="00855B33">
        <w:rPr>
          <w:sz w:val="22"/>
          <w:szCs w:val="22"/>
        </w:rPr>
        <w:t xml:space="preserve">are </w:t>
      </w:r>
      <w:r w:rsidR="006141CE" w:rsidRPr="00DF1DF1">
        <w:rPr>
          <w:sz w:val="22"/>
          <w:szCs w:val="22"/>
        </w:rPr>
        <w:t>number</w:t>
      </w:r>
      <w:r w:rsidR="00855B33">
        <w:rPr>
          <w:sz w:val="22"/>
          <w:szCs w:val="22"/>
        </w:rPr>
        <w:t xml:space="preserve"> and are referred to the in text, you can past copies of Tables are Figures as long as their numbers are unique. If you right click jpg graphic in word you can add a title or a source to the image or Table.  </w:t>
      </w:r>
      <w:r w:rsidR="006141CE" w:rsidRPr="00DF1DF1">
        <w:rPr>
          <w:sz w:val="22"/>
          <w:szCs w:val="22"/>
        </w:rPr>
        <w:t xml:space="preserve"> </w:t>
      </w:r>
      <w:hyperlink r:id="rId8" w:history="1">
        <w:r w:rsidR="00855B33">
          <w:rPr>
            <w:rStyle w:val="Hyperlink"/>
            <w:sz w:val="22"/>
            <w:szCs w:val="22"/>
          </w:rPr>
          <w:t>A</w:t>
        </w:r>
        <w:r w:rsidR="006141CE" w:rsidRPr="00DF1DF1">
          <w:rPr>
            <w:rStyle w:val="Hyperlink"/>
            <w:sz w:val="22"/>
            <w:szCs w:val="22"/>
          </w:rPr>
          <w:t>void vertical lines in Tables</w:t>
        </w:r>
      </w:hyperlink>
      <w:r w:rsidR="006141CE" w:rsidRPr="00DF1DF1">
        <w:rPr>
          <w:sz w:val="22"/>
          <w:szCs w:val="22"/>
        </w:rPr>
        <w:t xml:space="preserve">, use </w:t>
      </w:r>
      <w:r w:rsidR="00677116">
        <w:rPr>
          <w:sz w:val="22"/>
          <w:szCs w:val="22"/>
        </w:rPr>
        <w:t>readable</w:t>
      </w:r>
      <w:r w:rsidR="006141CE" w:rsidRPr="00DF1DF1">
        <w:rPr>
          <w:sz w:val="22"/>
          <w:szCs w:val="22"/>
        </w:rPr>
        <w:t xml:space="preserve"> fonts, </w:t>
      </w:r>
      <w:r w:rsidR="00551EEF" w:rsidRPr="00DF1DF1">
        <w:rPr>
          <w:sz w:val="22"/>
          <w:szCs w:val="22"/>
        </w:rPr>
        <w:t xml:space="preserve">avoid dark </w:t>
      </w:r>
      <w:r w:rsidR="009A7299">
        <w:rPr>
          <w:sz w:val="22"/>
          <w:szCs w:val="22"/>
        </w:rPr>
        <w:t xml:space="preserve">backgrounds </w:t>
      </w:r>
      <w:r w:rsidR="00551EEF" w:rsidRPr="00DF1DF1">
        <w:rPr>
          <w:sz w:val="22"/>
          <w:szCs w:val="22"/>
        </w:rPr>
        <w:t xml:space="preserve">shading, </w:t>
      </w:r>
      <w:r w:rsidR="009A7299">
        <w:rPr>
          <w:sz w:val="22"/>
          <w:szCs w:val="22"/>
        </w:rPr>
        <w:t xml:space="preserve">see referece format below.  If possible type equations in word or latek, convert to a pdf if necessary, if you take pictures of drawings or equations, be sure to increase the contrast and cut and paste them as jpg files to make them more legible and prevent your file from getting too large.  </w:t>
      </w:r>
      <w:r w:rsidR="006141CE" w:rsidRPr="00DF1DF1">
        <w:rPr>
          <w:sz w:val="22"/>
          <w:szCs w:val="22"/>
        </w:rPr>
        <w:t xml:space="preserve">  </w:t>
      </w:r>
    </w:p>
    <w:p w:rsidR="00CB5D1A" w:rsidRDefault="00CB5D1A" w:rsidP="008C473D">
      <w:pPr>
        <w:pStyle w:val="Quote"/>
        <w:rPr>
          <w:b/>
          <w:color w:val="800000"/>
          <w:sz w:val="22"/>
          <w:szCs w:val="22"/>
        </w:rPr>
      </w:pPr>
    </w:p>
    <w:p w:rsidR="006370F0" w:rsidRDefault="00B06F2F" w:rsidP="00E174A5">
      <w:pPr>
        <w:pStyle w:val="Quote"/>
        <w:rPr>
          <w:color w:val="800000"/>
        </w:rPr>
      </w:pPr>
      <w:r w:rsidRPr="00B06F2F">
        <w:rPr>
          <w:b/>
          <w:color w:val="800000"/>
        </w:rPr>
        <w:t>MQ-1: Master students</w:t>
      </w:r>
      <w:r w:rsidRPr="00B06F2F">
        <w:rPr>
          <w:color w:val="800000"/>
        </w:rPr>
        <w:t xml:space="preserve">: </w:t>
      </w:r>
      <w:r w:rsidRPr="00B06F2F">
        <w:rPr>
          <w:i w:val="0"/>
          <w:color w:val="800000"/>
        </w:rPr>
        <w:t xml:space="preserve">A) Contrast Baldwin’s </w:t>
      </w:r>
      <w:r w:rsidR="009A7299">
        <w:rPr>
          <w:i w:val="0"/>
          <w:color w:val="800000"/>
        </w:rPr>
        <w:t xml:space="preserve">value chain </w:t>
      </w:r>
      <w:r w:rsidRPr="00B06F2F">
        <w:rPr>
          <w:i w:val="0"/>
          <w:color w:val="800000"/>
        </w:rPr>
        <w:t>argument regarding the top 1% with Piketty</w:t>
      </w:r>
      <w:r w:rsidR="009A7299">
        <w:rPr>
          <w:i w:val="0"/>
          <w:color w:val="800000"/>
        </w:rPr>
        <w:t>-Mi</w:t>
      </w:r>
      <w:r w:rsidR="009A7299" w:rsidRPr="009A7299">
        <w:rPr>
          <w:i w:val="0"/>
          <w:color w:val="800000"/>
        </w:rPr>
        <w:t>lanovic</w:t>
      </w:r>
      <w:r w:rsidR="009A7299">
        <w:rPr>
          <w:i w:val="0"/>
          <w:color w:val="800000"/>
        </w:rPr>
        <w:t xml:space="preserve"> et al. </w:t>
      </w:r>
      <w:r w:rsidRPr="00B06F2F">
        <w:rPr>
          <w:i w:val="0"/>
          <w:color w:val="800000"/>
        </w:rPr>
        <w:t xml:space="preserve">“Plutocrat” </w:t>
      </w:r>
      <w:r w:rsidR="009A7299">
        <w:rPr>
          <w:i w:val="0"/>
          <w:color w:val="800000"/>
        </w:rPr>
        <w:t>view of the t</w:t>
      </w:r>
      <w:r w:rsidRPr="00B06F2F">
        <w:rPr>
          <w:i w:val="0"/>
          <w:color w:val="800000"/>
        </w:rPr>
        <w:t>op 1%</w:t>
      </w:r>
      <w:r w:rsidR="009A7299">
        <w:rPr>
          <w:i w:val="0"/>
          <w:color w:val="800000"/>
        </w:rPr>
        <w:t>.  W</w:t>
      </w:r>
      <w:r w:rsidRPr="00B06F2F">
        <w:rPr>
          <w:i w:val="0"/>
          <w:color w:val="800000"/>
        </w:rPr>
        <w:t>hi</w:t>
      </w:r>
      <w:r w:rsidR="009A7299">
        <w:rPr>
          <w:i w:val="0"/>
          <w:color w:val="800000"/>
        </w:rPr>
        <w:t xml:space="preserve">ch view is more consistent the </w:t>
      </w:r>
      <w:r w:rsidRPr="00B06F2F">
        <w:rPr>
          <w:i w:val="0"/>
          <w:color w:val="800000"/>
        </w:rPr>
        <w:t>Why Nations fail</w:t>
      </w:r>
      <w:r w:rsidR="009A7299">
        <w:rPr>
          <w:i w:val="0"/>
          <w:color w:val="800000"/>
        </w:rPr>
        <w:t xml:space="preserve"> debate over Carlos Slim vs. Bill Gates. Does this have implications for tax and redistribution policies</w:t>
      </w:r>
      <w:r w:rsidR="006370F0">
        <w:rPr>
          <w:i w:val="0"/>
          <w:color w:val="800000"/>
        </w:rPr>
        <w:t>?</w:t>
      </w:r>
      <w:r w:rsidR="009A7299">
        <w:rPr>
          <w:i w:val="0"/>
          <w:color w:val="800000"/>
        </w:rPr>
        <w:t xml:space="preserve"> </w:t>
      </w:r>
      <w:r w:rsidRPr="00B06F2F">
        <w:rPr>
          <w:i w:val="0"/>
          <w:color w:val="800000"/>
        </w:rPr>
        <w:t xml:space="preserve"> B)</w:t>
      </w:r>
      <w:r w:rsidR="006370F0">
        <w:rPr>
          <w:i w:val="0"/>
          <w:color w:val="800000"/>
        </w:rPr>
        <w:t xml:space="preserve"> </w:t>
      </w:r>
      <w:hyperlink r:id="rId9" w:anchor="Chapter 3" w:history="1">
        <w:r w:rsidR="006370F0" w:rsidRPr="005D3DC0">
          <w:rPr>
            <w:rStyle w:val="Hyperlink"/>
          </w:rPr>
          <w:t>Chapter 3 of the WEO</w:t>
        </w:r>
      </w:hyperlink>
      <w:r w:rsidR="006370F0">
        <w:rPr>
          <w:i w:val="0"/>
          <w:color w:val="800000"/>
        </w:rPr>
        <w:t xml:space="preserve"> documents the key reasons for a declining labor share in many if not all countries</w:t>
      </w:r>
      <w:r w:rsidR="00211577">
        <w:rPr>
          <w:i w:val="0"/>
          <w:color w:val="800000"/>
        </w:rPr>
        <w:t xml:space="preserve"> (Figure 3.4)</w:t>
      </w:r>
      <w:r w:rsidR="006370F0">
        <w:rPr>
          <w:i w:val="0"/>
          <w:color w:val="800000"/>
        </w:rPr>
        <w:t xml:space="preserve">.  What are the main causes of the falling labor share? Inequality is rising with labor share falling, but how does this differ from Piketty’s explanation?  Did the falling labor share contribute to the Brexit and recent U.S. presidential vote?  Why is labor’s share falling in China, might this be reversed by Lewis turning point?   </w:t>
      </w:r>
      <w:r w:rsidR="00211577">
        <w:rPr>
          <w:i w:val="0"/>
          <w:color w:val="800000"/>
        </w:rPr>
        <w:t xml:space="preserve">C) </w:t>
      </w:r>
      <w:hyperlink r:id="rId10" w:anchor="Chapter 3" w:history="1">
        <w:r w:rsidR="00211577" w:rsidRPr="005D3DC0">
          <w:rPr>
            <w:rStyle w:val="Hyperlink"/>
          </w:rPr>
          <w:t>Chapter 3 of the WEO a</w:t>
        </w:r>
      </w:hyperlink>
      <w:r w:rsidR="00211577">
        <w:rPr>
          <w:i w:val="0"/>
          <w:color w:val="800000"/>
        </w:rPr>
        <w:t xml:space="preserve">lso discusses the potential role of a higher elasticity of substitution between labor and capital (see Solow’s review of Capital). A value greater than one leads to a rising share of capital, but also greater potential for long run growth; explain. </w:t>
      </w:r>
      <w:r w:rsidR="00211577" w:rsidRPr="00211577">
        <w:rPr>
          <w:color w:val="800000"/>
        </w:rPr>
        <w:t xml:space="preserve">Piketty has another explanation for a rising capital share which is not associated with higher long run growth, what is his explanation?   </w:t>
      </w:r>
      <w:r w:rsidR="007A3935">
        <w:rPr>
          <w:i w:val="0"/>
          <w:color w:val="800000"/>
        </w:rPr>
        <w:t>D) How does financial integration affect labor’s share (in China for example).  Is most of the decline in labor’s share globally due to globalization (according to the IMF)?  E) Discuss strategies for reducing inequality via direct redistribution or</w:t>
      </w:r>
      <w:hyperlink r:id="rId11" w:history="1">
        <w:r w:rsidR="007A3935" w:rsidRPr="00D968C1">
          <w:rPr>
            <w:rStyle w:val="Hyperlink"/>
          </w:rPr>
          <w:t xml:space="preserve"> reducing gender inequality</w:t>
        </w:r>
      </w:hyperlink>
      <w:r w:rsidR="007A3935">
        <w:rPr>
          <w:i w:val="0"/>
          <w:color w:val="800000"/>
        </w:rPr>
        <w:t xml:space="preserve"> </w:t>
      </w:r>
      <w:r w:rsidR="00D968C1">
        <w:rPr>
          <w:i w:val="0"/>
          <w:color w:val="800000"/>
        </w:rPr>
        <w:t>(click the “our research shows” link and for the Americas,</w:t>
      </w:r>
      <w:hyperlink r:id="rId12" w:history="1">
        <w:r w:rsidR="00D968C1" w:rsidRPr="00D968C1">
          <w:rPr>
            <w:rStyle w:val="Hyperlink"/>
          </w:rPr>
          <w:t xml:space="preserve"> see this blog entry</w:t>
        </w:r>
      </w:hyperlink>
      <w:r w:rsidR="00D968C1">
        <w:rPr>
          <w:i w:val="0"/>
          <w:color w:val="800000"/>
        </w:rPr>
        <w:t xml:space="preserve">). </w:t>
      </w:r>
      <w:r w:rsidR="007A3935">
        <w:rPr>
          <w:i w:val="0"/>
          <w:color w:val="800000"/>
        </w:rPr>
        <w:t xml:space="preserve">Use the Aghion and Williamson model outlined in the class notes to explain how lower inequality increases growth and social mobility (see also the mobility discussion </w:t>
      </w:r>
      <w:r w:rsidR="00D968C1">
        <w:rPr>
          <w:i w:val="0"/>
          <w:color w:val="800000"/>
        </w:rPr>
        <w:t xml:space="preserve">in Daba-Norris et al 2015).  </w:t>
      </w:r>
      <w:r w:rsidR="00D968C1" w:rsidRPr="00D968C1">
        <w:rPr>
          <w:color w:val="800000"/>
        </w:rPr>
        <w:t xml:space="preserve">F) In your case study countries, does it seem redistribution will fuel growth or compensate those left behind (workers vulnerable to automation for example).   </w:t>
      </w:r>
    </w:p>
    <w:p w:rsidR="005D3DC0" w:rsidRPr="005D3DC0" w:rsidRDefault="005D3DC0" w:rsidP="005D3DC0"/>
    <w:p w:rsidR="00B06F2F" w:rsidRPr="00B06F2F" w:rsidRDefault="00B06F2F" w:rsidP="00B06F2F">
      <w:r w:rsidRPr="005D0353">
        <w:rPr>
          <w:b/>
          <w:color w:val="800000"/>
        </w:rPr>
        <w:t>MQ-</w:t>
      </w:r>
      <w:r w:rsidR="00D8377D">
        <w:rPr>
          <w:b/>
          <w:color w:val="800000"/>
        </w:rPr>
        <w:t>2</w:t>
      </w:r>
      <w:r w:rsidRPr="005D0353">
        <w:rPr>
          <w:b/>
          <w:color w:val="800000"/>
        </w:rPr>
        <w:t xml:space="preserve">: </w:t>
      </w:r>
      <w:r w:rsidR="00D8377D">
        <w:rPr>
          <w:b/>
          <w:color w:val="800000"/>
        </w:rPr>
        <w:t>PhD students</w:t>
      </w:r>
      <w:r w:rsidRPr="005D0353">
        <w:rPr>
          <w:b/>
          <w:color w:val="800000"/>
        </w:rPr>
        <w:t xml:space="preserve">: </w:t>
      </w:r>
      <w:r w:rsidR="00D8377D" w:rsidRPr="00D8377D">
        <w:rPr>
          <w:color w:val="800000"/>
        </w:rPr>
        <w:t xml:space="preserve">A) </w:t>
      </w:r>
      <w:r w:rsidR="00D8377D">
        <w:rPr>
          <w:color w:val="800000"/>
        </w:rPr>
        <w:t xml:space="preserve">Use the long Barro model with government to explain why decentralized capitalism leads to underinvestment.  Relate this result to the efficiency of r &gt; g (Piketty’s argument).  B) </w:t>
      </w:r>
      <w:r w:rsidR="005D3DC0">
        <w:rPr>
          <w:color w:val="800000"/>
        </w:rPr>
        <w:t>Review the</w:t>
      </w:r>
      <w:hyperlink r:id="rId13" w:anchor="Chapter 3" w:history="1">
        <w:r w:rsidR="005D3DC0" w:rsidRPr="005D3DC0">
          <w:rPr>
            <w:rStyle w:val="Hyperlink"/>
          </w:rPr>
          <w:t xml:space="preserve"> IMF Chapter 3 </w:t>
        </w:r>
      </w:hyperlink>
      <w:r w:rsidR="005D3DC0">
        <w:rPr>
          <w:color w:val="800000"/>
        </w:rPr>
        <w:t xml:space="preserve">arguments regarding the </w:t>
      </w:r>
      <w:r w:rsidR="00D8377D">
        <w:rPr>
          <w:color w:val="800000"/>
        </w:rPr>
        <w:t xml:space="preserve">high elasticity of substitution between labor </w:t>
      </w:r>
      <w:r w:rsidR="005D3DC0">
        <w:rPr>
          <w:color w:val="800000"/>
        </w:rPr>
        <w:t xml:space="preserve">and </w:t>
      </w:r>
      <w:r w:rsidR="005D3DC0">
        <w:rPr>
          <w:b/>
          <w:color w:val="800000"/>
        </w:rPr>
        <w:t>capital</w:t>
      </w:r>
      <w:r w:rsidR="00D8377D" w:rsidRPr="00D8377D">
        <w:rPr>
          <w:color w:val="800000"/>
        </w:rPr>
        <w:t xml:space="preserve">. Why does this lead to </w:t>
      </w:r>
      <w:r w:rsidR="005D3DC0">
        <w:rPr>
          <w:color w:val="800000"/>
        </w:rPr>
        <w:t xml:space="preserve">both higher potential long run </w:t>
      </w:r>
      <w:r w:rsidR="00D8377D" w:rsidRPr="00D8377D">
        <w:rPr>
          <w:color w:val="800000"/>
        </w:rPr>
        <w:t>growth forever (endogenous growth)</w:t>
      </w:r>
      <w:r w:rsidR="005D3DC0">
        <w:rPr>
          <w:color w:val="800000"/>
        </w:rPr>
        <w:t xml:space="preserve"> and more inequality</w:t>
      </w:r>
      <w:r w:rsidR="00D8377D" w:rsidRPr="00D8377D">
        <w:rPr>
          <w:color w:val="800000"/>
        </w:rPr>
        <w:t>.</w:t>
      </w:r>
      <w:r w:rsidR="00D8377D">
        <w:rPr>
          <w:color w:val="800000"/>
        </w:rPr>
        <w:t xml:space="preserve"> </w:t>
      </w:r>
      <w:r w:rsidR="005D3DC0">
        <w:rPr>
          <w:color w:val="800000"/>
        </w:rPr>
        <w:t xml:space="preserve">What is Piketty’s explanation of a higher capital share?  Is this supported by evidence presented in </w:t>
      </w:r>
      <w:hyperlink r:id="rId14" w:anchor="Chapter 3" w:history="1">
        <w:r w:rsidR="005D3DC0" w:rsidRPr="005D3DC0">
          <w:rPr>
            <w:rStyle w:val="Hyperlink"/>
          </w:rPr>
          <w:t xml:space="preserve">Chapter 3 of WEO </w:t>
        </w:r>
      </w:hyperlink>
      <w:r w:rsidR="00D8377D">
        <w:rPr>
          <w:color w:val="800000"/>
        </w:rPr>
        <w:t xml:space="preserve">What distributional problems does this lead to (similar to the extractive or automation models).  </w:t>
      </w:r>
      <w:r w:rsidR="00D8377D">
        <w:rPr>
          <w:b/>
          <w:color w:val="800000"/>
        </w:rPr>
        <w:t xml:space="preserve">  </w:t>
      </w:r>
    </w:p>
    <w:p w:rsidR="00E174A5" w:rsidRDefault="00E174A5" w:rsidP="00E174A5"/>
    <w:p w:rsidR="00D968C1" w:rsidRPr="00471AFE" w:rsidRDefault="00E174A5" w:rsidP="00D968C1">
      <w:pPr>
        <w:pStyle w:val="Quote"/>
        <w:rPr>
          <w:color w:val="800000"/>
        </w:rPr>
      </w:pPr>
      <w:r w:rsidRPr="005D0353">
        <w:rPr>
          <w:b/>
          <w:color w:val="800000"/>
        </w:rPr>
        <w:t>MQ-</w:t>
      </w:r>
      <w:r w:rsidR="00D8377D">
        <w:rPr>
          <w:b/>
          <w:color w:val="800000"/>
        </w:rPr>
        <w:t>3</w:t>
      </w:r>
      <w:r w:rsidRPr="005D0353">
        <w:rPr>
          <w:b/>
          <w:color w:val="800000"/>
        </w:rPr>
        <w:t xml:space="preserve">: </w:t>
      </w:r>
      <w:r w:rsidR="005D3DC0">
        <w:rPr>
          <w:b/>
          <w:color w:val="800000"/>
        </w:rPr>
        <w:t xml:space="preserve">(wait </w:t>
      </w:r>
      <w:r w:rsidRPr="005D0353">
        <w:rPr>
          <w:b/>
          <w:color w:val="800000"/>
        </w:rPr>
        <w:t xml:space="preserve"> </w:t>
      </w:r>
      <w:r w:rsidRPr="005D0353">
        <w:rPr>
          <w:color w:val="800000"/>
        </w:rPr>
        <w:t xml:space="preserve">President Trump </w:t>
      </w:r>
      <w:r w:rsidR="005D3DC0">
        <w:rPr>
          <w:color w:val="800000"/>
        </w:rPr>
        <w:t>recently backed away from his claim that</w:t>
      </w:r>
      <w:r w:rsidRPr="005D0353">
        <w:rPr>
          <w:color w:val="800000"/>
        </w:rPr>
        <w:t xml:space="preserve"> China</w:t>
      </w:r>
      <w:r w:rsidR="005D0353" w:rsidRPr="005D0353">
        <w:rPr>
          <w:color w:val="800000"/>
        </w:rPr>
        <w:t>’s real exchange rate undervalued</w:t>
      </w:r>
      <w:r w:rsidR="005D3DC0">
        <w:rPr>
          <w:color w:val="800000"/>
        </w:rPr>
        <w:t xml:space="preserve"> (and manipulated)</w:t>
      </w:r>
      <w:r w:rsidR="005D0353" w:rsidRPr="005D0353">
        <w:rPr>
          <w:color w:val="800000"/>
        </w:rPr>
        <w:t xml:space="preserve">.  (a) Use the PWT 9.0 to download </w:t>
      </w:r>
      <w:r w:rsidR="005D0353">
        <w:rPr>
          <w:color w:val="800000"/>
        </w:rPr>
        <w:t>the real exchange rate data for China and other Asian countries.  Has China’s exchange rate appreciated or depreciated in recent years?  Compare these estimates with other available estimates of China’s real exchange rate (</w:t>
      </w:r>
      <w:r w:rsidR="005D3DC0">
        <w:rPr>
          <w:color w:val="800000"/>
        </w:rPr>
        <w:t xml:space="preserve">see Krguman’s </w:t>
      </w:r>
      <w:r w:rsidR="00471AFE">
        <w:rPr>
          <w:color w:val="800000"/>
        </w:rPr>
        <w:t xml:space="preserve">Reserves </w:t>
      </w:r>
      <w:r w:rsidR="005D3DC0">
        <w:rPr>
          <w:color w:val="800000"/>
        </w:rPr>
        <w:t>series below for example, or the</w:t>
      </w:r>
      <w:r w:rsidR="005D0353">
        <w:rPr>
          <w:color w:val="800000"/>
        </w:rPr>
        <w:t xml:space="preserve"> IMF REER).  (b) Take a look at the IMF </w:t>
      </w:r>
      <w:hyperlink r:id="rId15" w:history="1">
        <w:r w:rsidR="005D0353" w:rsidRPr="000E257B">
          <w:rPr>
            <w:rStyle w:val="Hyperlink"/>
          </w:rPr>
          <w:t>WEO released in April</w:t>
        </w:r>
        <w:r w:rsidR="000E257B" w:rsidRPr="000E257B">
          <w:rPr>
            <w:rStyle w:val="Hyperlink"/>
          </w:rPr>
          <w:t xml:space="preserve"> 10th</w:t>
        </w:r>
      </w:hyperlink>
      <w:r w:rsidR="005D0353">
        <w:rPr>
          <w:color w:val="800000"/>
        </w:rPr>
        <w:t xml:space="preserve">. What is their outlook for China, India and Africa?  Why are is the growth of these countries connected and vital for the world economic outlook?  (c) Look at </w:t>
      </w:r>
      <w:hyperlink r:id="rId16" w:history="1">
        <w:r w:rsidR="005D0353" w:rsidRPr="00D8377D">
          <w:rPr>
            <w:rStyle w:val="Hyperlink"/>
          </w:rPr>
          <w:t xml:space="preserve">PWT </w:t>
        </w:r>
        <w:r w:rsidR="00B06F2F" w:rsidRPr="00D8377D">
          <w:rPr>
            <w:rStyle w:val="Hyperlink"/>
          </w:rPr>
          <w:t xml:space="preserve">9.0 </w:t>
        </w:r>
        <w:r w:rsidR="005D0353" w:rsidRPr="00D8377D">
          <w:rPr>
            <w:rStyle w:val="Hyperlink"/>
          </w:rPr>
          <w:t>TFP</w:t>
        </w:r>
      </w:hyperlink>
      <w:r w:rsidR="005D0353">
        <w:rPr>
          <w:color w:val="800000"/>
        </w:rPr>
        <w:t xml:space="preserve"> growth </w:t>
      </w:r>
      <w:r w:rsidR="00B06F2F">
        <w:rPr>
          <w:color w:val="800000"/>
        </w:rPr>
        <w:t>for</w:t>
      </w:r>
      <w:r w:rsidR="005D0353">
        <w:rPr>
          <w:color w:val="800000"/>
        </w:rPr>
        <w:t xml:space="preserve"> the major Asian </w:t>
      </w:r>
      <w:r w:rsidR="00B06F2F">
        <w:rPr>
          <w:color w:val="800000"/>
        </w:rPr>
        <w:t>countries;</w:t>
      </w:r>
      <w:r w:rsidR="005D0353">
        <w:rPr>
          <w:color w:val="800000"/>
        </w:rPr>
        <w:t xml:space="preserve"> it is consistent with the Krugman-Young “myth of the Asian miracle” argument.  Use basic growth accounting to</w:t>
      </w:r>
      <w:r w:rsidR="00B06F2F">
        <w:rPr>
          <w:color w:val="800000"/>
        </w:rPr>
        <w:t xml:space="preserve"> explain the Krugman Young argument.  Is TFP growth slowing in Asia and the OECD </w:t>
      </w:r>
      <w:r w:rsidR="00B06F2F">
        <w:rPr>
          <w:color w:val="800000"/>
        </w:rPr>
        <w:lastRenderedPageBreak/>
        <w:t>nations?  Is this consistent with Piketty’s argument</w:t>
      </w:r>
      <w:r w:rsidR="00677116">
        <w:rPr>
          <w:color w:val="800000"/>
        </w:rPr>
        <w:t xml:space="preserve"> re long term growth</w:t>
      </w:r>
      <w:r w:rsidR="00B06F2F">
        <w:rPr>
          <w:color w:val="800000"/>
        </w:rPr>
        <w:t>?</w:t>
      </w:r>
      <w:r w:rsidR="00D968C1" w:rsidRPr="00B06F2F">
        <w:rPr>
          <w:i w:val="0"/>
          <w:color w:val="800000"/>
        </w:rPr>
        <w:t xml:space="preserve">  </w:t>
      </w:r>
      <w:r w:rsidR="00471AFE" w:rsidRPr="00471AFE">
        <w:rPr>
          <w:color w:val="800000"/>
        </w:rPr>
        <w:t>D</w:t>
      </w:r>
      <w:r w:rsidR="00D968C1" w:rsidRPr="00471AFE">
        <w:rPr>
          <w:color w:val="800000"/>
        </w:rPr>
        <w:t xml:space="preserve">) Focus on a developing region you care about (Africa, Asia or Latin American or Eastern Europe).  What does the IMF say complicates or their </w:t>
      </w:r>
      <w:hyperlink r:id="rId17" w:history="1">
        <w:r w:rsidR="00D968C1" w:rsidRPr="00471AFE">
          <w:rPr>
            <w:rStyle w:val="Hyperlink"/>
          </w:rPr>
          <w:t>April WEO growth outlook</w:t>
        </w:r>
      </w:hyperlink>
      <w:r w:rsidR="00D968C1" w:rsidRPr="00471AFE">
        <w:rPr>
          <w:color w:val="800000"/>
        </w:rPr>
        <w:t xml:space="preserve"> (see Chapter 2 and the related video below)?  They mention world interest rates, which does this matter.  </w:t>
      </w:r>
      <w:r w:rsidR="00471AFE">
        <w:rPr>
          <w:color w:val="800000"/>
        </w:rPr>
        <w:t>E</w:t>
      </w:r>
      <w:r w:rsidR="00D968C1" w:rsidRPr="00471AFE">
        <w:rPr>
          <w:color w:val="800000"/>
        </w:rPr>
        <w:t xml:space="preserve">) Alternatively please discuss the new development initiatives </w:t>
      </w:r>
      <w:hyperlink r:id="rId18" w:history="1">
        <w:r w:rsidR="00D968C1" w:rsidRPr="00471AFE">
          <w:rPr>
            <w:rStyle w:val="Hyperlink"/>
          </w:rPr>
          <w:t>China</w:t>
        </w:r>
      </w:hyperlink>
      <w:r w:rsidR="00D968C1" w:rsidRPr="00471AFE">
        <w:rPr>
          <w:color w:val="800000"/>
        </w:rPr>
        <w:t xml:space="preserve"> and </w:t>
      </w:r>
      <w:hyperlink r:id="rId19" w:history="1">
        <w:r w:rsidR="00D968C1" w:rsidRPr="00471AFE">
          <w:rPr>
            <w:rStyle w:val="Hyperlink"/>
          </w:rPr>
          <w:t xml:space="preserve">India </w:t>
        </w:r>
      </w:hyperlink>
      <w:r w:rsidR="00D968C1" w:rsidRPr="00471AFE">
        <w:rPr>
          <w:color w:val="800000"/>
        </w:rPr>
        <w:t xml:space="preserve">have embarked on (for China include new land reform and Syngenta… how will this ease wage pressures? On India see also </w:t>
      </w:r>
      <w:hyperlink r:id="rId20" w:history="1">
        <w:r w:rsidR="00D968C1" w:rsidRPr="00471AFE">
          <w:rPr>
            <w:rStyle w:val="Hyperlink"/>
          </w:rPr>
          <w:t>Duflo’s 2017 Ely lecture</w:t>
        </w:r>
      </w:hyperlink>
      <w:r w:rsidR="00D968C1" w:rsidRPr="00471AFE">
        <w:rPr>
          <w:color w:val="800000"/>
        </w:rPr>
        <w:t xml:space="preserve">).  How do might these development plans boost growth for them and for the world economy?  Does the success of these plans depend on external trade and capital flows, directly or indirectly.  If it fits your case study country discussed WIDER’s extractive industries growth model.  How does this model appear similar to problem of coping with automation? </w:t>
      </w:r>
    </w:p>
    <w:p w:rsidR="00E174A5" w:rsidRPr="00471AFE" w:rsidRDefault="00E174A5" w:rsidP="00E174A5">
      <w:pPr>
        <w:rPr>
          <w:i/>
        </w:rPr>
      </w:pPr>
    </w:p>
    <w:p w:rsidR="00E174A5" w:rsidRDefault="00E174A5" w:rsidP="00E174A5"/>
    <w:p w:rsidR="00677116" w:rsidRPr="002B624C" w:rsidRDefault="00677116" w:rsidP="00677116">
      <w:pPr>
        <w:rPr>
          <w:i/>
          <w:sz w:val="22"/>
        </w:rPr>
      </w:pPr>
      <w:r>
        <w:rPr>
          <w:i/>
          <w:sz w:val="22"/>
        </w:rPr>
        <w:t xml:space="preserve">Please include references to readings in your answers.  A url is not a reference, though it is a nice gesture, if you encourage </w:t>
      </w:r>
      <w:r w:rsidRPr="002B624C">
        <w:rPr>
          <w:i/>
          <w:sz w:val="22"/>
        </w:rPr>
        <w:t>others to read what you have read.  Please use this format for your references (includ</w:t>
      </w:r>
      <w:r>
        <w:rPr>
          <w:i/>
          <w:sz w:val="22"/>
        </w:rPr>
        <w:t>ing</w:t>
      </w:r>
      <w:r w:rsidRPr="002B624C">
        <w:rPr>
          <w:i/>
          <w:sz w:val="22"/>
        </w:rPr>
        <w:t xml:space="preserve"> th</w:t>
      </w:r>
      <w:r>
        <w:rPr>
          <w:i/>
          <w:sz w:val="22"/>
        </w:rPr>
        <w:t>e</w:t>
      </w:r>
      <w:r w:rsidRPr="002B624C">
        <w:rPr>
          <w:i/>
          <w:sz w:val="22"/>
        </w:rPr>
        <w:t>s</w:t>
      </w:r>
      <w:r>
        <w:rPr>
          <w:i/>
          <w:sz w:val="22"/>
        </w:rPr>
        <w:t>e</w:t>
      </w:r>
      <w:r w:rsidRPr="002B624C">
        <w:rPr>
          <w:i/>
          <w:sz w:val="22"/>
        </w:rPr>
        <w:t xml:space="preserve"> </w:t>
      </w:r>
      <w:r>
        <w:rPr>
          <w:i/>
          <w:sz w:val="22"/>
        </w:rPr>
        <w:t>?</w:t>
      </w:r>
      <w:r w:rsidRPr="002B624C">
        <w:rPr>
          <w:i/>
          <w:sz w:val="22"/>
        </w:rPr>
        <w:t>).</w:t>
      </w:r>
      <w:r>
        <w:rPr>
          <w:i/>
          <w:sz w:val="22"/>
        </w:rPr>
        <w:t xml:space="preserve">  </w:t>
      </w:r>
    </w:p>
    <w:p w:rsidR="00677116" w:rsidRDefault="00677116" w:rsidP="00677116">
      <w:pPr>
        <w:rPr>
          <w:i/>
          <w:sz w:val="22"/>
        </w:rPr>
      </w:pPr>
    </w:p>
    <w:p w:rsidR="00211577" w:rsidRPr="00211577" w:rsidRDefault="00211577" w:rsidP="00211577">
      <w:pPr>
        <w:rPr>
          <w:rFonts w:ascii="Arial" w:hAnsi="Arial" w:cs="Arial"/>
          <w:color w:val="222222"/>
          <w:sz w:val="22"/>
          <w:szCs w:val="22"/>
          <w:shd w:val="clear" w:color="auto" w:fill="FFFFFF"/>
        </w:rPr>
      </w:pPr>
      <w:r w:rsidRPr="00211577">
        <w:rPr>
          <w:i/>
          <w:color w:val="222222"/>
          <w:sz w:val="22"/>
          <w:szCs w:val="22"/>
          <w:shd w:val="clear" w:color="auto" w:fill="FFFFFF"/>
        </w:rPr>
        <w:t>Berg, A. G., &amp; Ostry, J. D. (2011)</w:t>
      </w:r>
      <w:hyperlink r:id="rId21" w:history="1">
        <w:r w:rsidRPr="00211577">
          <w:rPr>
            <w:rStyle w:val="Hyperlink"/>
            <w:i/>
            <w:sz w:val="22"/>
            <w:szCs w:val="22"/>
            <w:shd w:val="clear" w:color="auto" w:fill="FFFFFF"/>
          </w:rPr>
          <w:t>. Inequality and efficiency. </w:t>
        </w:r>
        <w:r w:rsidRPr="00211577">
          <w:rPr>
            <w:rStyle w:val="Hyperlink"/>
            <w:i/>
            <w:iCs/>
            <w:sz w:val="22"/>
            <w:szCs w:val="22"/>
            <w:shd w:val="clear" w:color="auto" w:fill="FFFFFF"/>
          </w:rPr>
          <w:t>F</w:t>
        </w:r>
      </w:hyperlink>
      <w:r w:rsidRPr="00211577">
        <w:rPr>
          <w:i/>
          <w:iCs/>
          <w:color w:val="222222"/>
          <w:sz w:val="22"/>
          <w:szCs w:val="22"/>
          <w:shd w:val="clear" w:color="auto" w:fill="FFFFFF"/>
        </w:rPr>
        <w:t xml:space="preserve">inance &amp; </w:t>
      </w:r>
      <w:hyperlink r:id="rId22" w:history="1">
        <w:r w:rsidRPr="00211577">
          <w:rPr>
            <w:rStyle w:val="Hyperlink"/>
            <w:i/>
            <w:iCs/>
            <w:sz w:val="22"/>
            <w:szCs w:val="22"/>
            <w:shd w:val="clear" w:color="auto" w:fill="FFFFFF"/>
          </w:rPr>
          <w:t>Development</w:t>
        </w:r>
        <w:r w:rsidRPr="00211577">
          <w:rPr>
            <w:rStyle w:val="Hyperlink"/>
            <w:i/>
            <w:sz w:val="22"/>
            <w:szCs w:val="22"/>
            <w:shd w:val="clear" w:color="auto" w:fill="FFFFFF"/>
          </w:rPr>
          <w:t>, </w:t>
        </w:r>
        <w:r w:rsidRPr="00211577">
          <w:rPr>
            <w:rStyle w:val="Hyperlink"/>
            <w:i/>
            <w:iCs/>
            <w:sz w:val="22"/>
            <w:szCs w:val="22"/>
            <w:shd w:val="clear" w:color="auto" w:fill="FFFFFF"/>
          </w:rPr>
          <w:t>48</w:t>
        </w:r>
        <w:r w:rsidRPr="00211577">
          <w:rPr>
            <w:rStyle w:val="Hyperlink"/>
            <w:i/>
            <w:sz w:val="22"/>
            <w:szCs w:val="22"/>
            <w:shd w:val="clear" w:color="auto" w:fill="FFFFFF"/>
          </w:rPr>
          <w:t>(3),</w:t>
        </w:r>
      </w:hyperlink>
      <w:r w:rsidRPr="00211577">
        <w:rPr>
          <w:i/>
          <w:color w:val="222222"/>
          <w:sz w:val="22"/>
          <w:szCs w:val="22"/>
          <w:shd w:val="clear" w:color="auto" w:fill="FFFFFF"/>
        </w:rPr>
        <w:t xml:space="preserve"> 12-15</w:t>
      </w:r>
      <w:r w:rsidRPr="00211577">
        <w:rPr>
          <w:color w:val="222222"/>
          <w:sz w:val="22"/>
          <w:szCs w:val="22"/>
          <w:shd w:val="clear" w:color="auto" w:fill="FFFFFF"/>
        </w:rPr>
        <w:t>.</w:t>
      </w:r>
      <w:r w:rsidRPr="00211577">
        <w:rPr>
          <w:rFonts w:ascii="Arial" w:hAnsi="Arial" w:cs="Arial"/>
          <w:color w:val="222222"/>
          <w:sz w:val="22"/>
          <w:szCs w:val="22"/>
          <w:shd w:val="clear" w:color="auto" w:fill="FFFFFF"/>
        </w:rPr>
        <w:t xml:space="preserve">   </w:t>
      </w:r>
    </w:p>
    <w:p w:rsidR="00211577" w:rsidRPr="00211577" w:rsidRDefault="00211577" w:rsidP="00211577">
      <w:pPr>
        <w:rPr>
          <w:rFonts w:ascii="Arial" w:hAnsi="Arial" w:cs="Arial"/>
          <w:color w:val="222222"/>
          <w:sz w:val="22"/>
          <w:szCs w:val="22"/>
          <w:shd w:val="clear" w:color="auto" w:fill="FFFFFF"/>
        </w:rPr>
      </w:pPr>
    </w:p>
    <w:p w:rsidR="00211577" w:rsidRPr="00211577" w:rsidRDefault="007A3935" w:rsidP="00211577">
      <w:pPr>
        <w:rPr>
          <w:sz w:val="22"/>
          <w:szCs w:val="22"/>
        </w:rPr>
      </w:pPr>
      <w:r w:rsidRPr="00211577">
        <w:rPr>
          <w:color w:val="222222"/>
          <w:sz w:val="22"/>
          <w:szCs w:val="22"/>
          <w:shd w:val="clear" w:color="auto" w:fill="FFFFFF"/>
        </w:rPr>
        <w:t>Dabla-Norris,</w:t>
      </w:r>
      <w:r>
        <w:rPr>
          <w:color w:val="222222"/>
          <w:sz w:val="22"/>
          <w:szCs w:val="22"/>
          <w:shd w:val="clear" w:color="auto" w:fill="FFFFFF"/>
        </w:rPr>
        <w:t xml:space="preserve">et al 2015, </w:t>
      </w:r>
      <w:r w:rsidR="00211577" w:rsidRPr="00211577">
        <w:rPr>
          <w:color w:val="222222"/>
          <w:sz w:val="22"/>
          <w:szCs w:val="22"/>
          <w:shd w:val="clear" w:color="auto" w:fill="FFFFFF"/>
        </w:rPr>
        <w:t xml:space="preserve">Dabla-Norris, Ms Era, Ms Kalpana Kochhar, Mrs Nujin Suphaphiphat, Mr Frantisek Ricka, Evridiki Tsounta. Causes and </w:t>
      </w:r>
      <w:hyperlink r:id="rId23" w:history="1">
        <w:r w:rsidR="00211577" w:rsidRPr="00211577">
          <w:rPr>
            <w:rStyle w:val="Hyperlink"/>
            <w:sz w:val="22"/>
            <w:szCs w:val="22"/>
            <w:shd w:val="clear" w:color="auto" w:fill="FFFFFF"/>
          </w:rPr>
          <w:t>consequences of income inequality: a global perspective. In</w:t>
        </w:r>
      </w:hyperlink>
      <w:r w:rsidR="00211577" w:rsidRPr="00211577">
        <w:rPr>
          <w:color w:val="222222"/>
          <w:sz w:val="22"/>
          <w:szCs w:val="22"/>
          <w:shd w:val="clear" w:color="auto" w:fill="FFFFFF"/>
        </w:rPr>
        <w:t>ternational Monetary Fund.</w:t>
      </w:r>
    </w:p>
    <w:p w:rsidR="00211577" w:rsidRPr="00211577" w:rsidRDefault="00211577" w:rsidP="00677116">
      <w:pPr>
        <w:rPr>
          <w:i/>
          <w:color w:val="222222"/>
          <w:sz w:val="22"/>
          <w:szCs w:val="22"/>
          <w:shd w:val="clear" w:color="auto" w:fill="FFFFFF"/>
        </w:rPr>
      </w:pPr>
    </w:p>
    <w:p w:rsidR="007A3935" w:rsidRDefault="007A3935" w:rsidP="00677116">
      <w:pPr>
        <w:rPr>
          <w:i/>
          <w:color w:val="222222"/>
          <w:sz w:val="22"/>
          <w:szCs w:val="22"/>
          <w:shd w:val="clear" w:color="auto" w:fill="FFFFFF"/>
        </w:rPr>
      </w:pPr>
      <w:r w:rsidRPr="007A3935">
        <w:rPr>
          <w:i/>
          <w:color w:val="222222"/>
          <w:sz w:val="22"/>
          <w:szCs w:val="22"/>
          <w:shd w:val="clear" w:color="auto" w:fill="FFFFFF"/>
        </w:rPr>
        <w:t>Gonzales, Christian, Sonali Jain-Chandra, Kalpana Kochhar, Monique Newiak, and Tlek Zeinullayev</w:t>
      </w:r>
      <w:r w:rsidR="00D968C1">
        <w:rPr>
          <w:i/>
          <w:color w:val="222222"/>
          <w:sz w:val="22"/>
          <w:szCs w:val="22"/>
          <w:shd w:val="clear" w:color="auto" w:fill="FFFFFF"/>
        </w:rPr>
        <w:t xml:space="preserve"> (2015)</w:t>
      </w:r>
      <w:r w:rsidRPr="007A3935">
        <w:rPr>
          <w:i/>
          <w:color w:val="222222"/>
          <w:sz w:val="22"/>
          <w:szCs w:val="22"/>
          <w:shd w:val="clear" w:color="auto" w:fill="FFFFFF"/>
        </w:rPr>
        <w:t xml:space="preserve"> "Catalyst for change: Empowering women and tackling income inequality."</w:t>
      </w:r>
      <w:r w:rsidR="00D968C1">
        <w:rPr>
          <w:i/>
          <w:color w:val="222222"/>
          <w:sz w:val="22"/>
          <w:szCs w:val="22"/>
          <w:shd w:val="clear" w:color="auto" w:fill="FFFFFF"/>
        </w:rPr>
        <w:t>IMF</w:t>
      </w:r>
      <w:r w:rsidRPr="007A3935">
        <w:rPr>
          <w:i/>
          <w:color w:val="222222"/>
          <w:sz w:val="22"/>
          <w:szCs w:val="22"/>
          <w:shd w:val="clear" w:color="auto" w:fill="FFFFFF"/>
        </w:rPr>
        <w:t xml:space="preserve">. </w:t>
      </w:r>
    </w:p>
    <w:p w:rsidR="007A3935" w:rsidRDefault="007A3935" w:rsidP="00677116">
      <w:pPr>
        <w:rPr>
          <w:i/>
          <w:color w:val="222222"/>
          <w:sz w:val="22"/>
          <w:szCs w:val="22"/>
          <w:shd w:val="clear" w:color="auto" w:fill="FFFFFF"/>
        </w:rPr>
      </w:pPr>
      <w:r w:rsidRPr="007A3935">
        <w:rPr>
          <w:i/>
          <w:color w:val="222222"/>
          <w:sz w:val="22"/>
          <w:szCs w:val="22"/>
          <w:shd w:val="clear" w:color="auto" w:fill="FFFFFF"/>
        </w:rPr>
        <w:t>http://www</w:t>
      </w:r>
      <w:r>
        <w:rPr>
          <w:i/>
          <w:color w:val="222222"/>
          <w:sz w:val="22"/>
          <w:szCs w:val="22"/>
          <w:shd w:val="clear" w:color="auto" w:fill="FFFFFF"/>
        </w:rPr>
        <w:t>.</w:t>
      </w:r>
      <w:r w:rsidRPr="007A3935">
        <w:rPr>
          <w:i/>
          <w:color w:val="222222"/>
          <w:sz w:val="22"/>
          <w:szCs w:val="22"/>
          <w:shd w:val="clear" w:color="auto" w:fill="FFFFFF"/>
        </w:rPr>
        <w:t>imf.org/external/pubs/ft/sdn/2015/sdn1520. pdf</w:t>
      </w:r>
    </w:p>
    <w:p w:rsidR="007A3935" w:rsidRDefault="007A3935" w:rsidP="00677116">
      <w:pPr>
        <w:rPr>
          <w:i/>
          <w:color w:val="222222"/>
          <w:sz w:val="22"/>
          <w:szCs w:val="22"/>
          <w:shd w:val="clear" w:color="auto" w:fill="FFFFFF"/>
        </w:rPr>
      </w:pPr>
    </w:p>
    <w:p w:rsidR="00677116" w:rsidRPr="00211577" w:rsidRDefault="00677116" w:rsidP="00677116">
      <w:pPr>
        <w:rPr>
          <w:i/>
          <w:color w:val="222222"/>
          <w:sz w:val="22"/>
          <w:szCs w:val="22"/>
          <w:shd w:val="clear" w:color="auto" w:fill="FFFFFF"/>
        </w:rPr>
      </w:pPr>
      <w:r w:rsidRPr="00211577">
        <w:rPr>
          <w:i/>
          <w:color w:val="222222"/>
          <w:sz w:val="22"/>
          <w:szCs w:val="22"/>
          <w:shd w:val="clear" w:color="auto" w:fill="FFFFFF"/>
        </w:rPr>
        <w:t>Ostry, J. D., &amp; Berg, A. (2011).</w:t>
      </w:r>
      <w:r w:rsidRPr="00211577">
        <w:rPr>
          <w:rStyle w:val="apple-converted-space"/>
          <w:i/>
          <w:color w:val="222222"/>
          <w:sz w:val="22"/>
          <w:szCs w:val="22"/>
          <w:shd w:val="clear" w:color="auto" w:fill="FFFFFF"/>
        </w:rPr>
        <w:t> </w:t>
      </w:r>
      <w:hyperlink r:id="rId24" w:history="1">
        <w:r w:rsidRPr="00211577">
          <w:rPr>
            <w:rStyle w:val="Hyperlink"/>
            <w:i/>
            <w:iCs/>
            <w:sz w:val="22"/>
            <w:szCs w:val="22"/>
            <w:shd w:val="clear" w:color="auto" w:fill="FFFFFF"/>
          </w:rPr>
          <w:t>Inequality and unsustainable growth: two sides of the same coin</w:t>
        </w:r>
      </w:hyperlink>
      <w:r w:rsidRPr="00211577">
        <w:rPr>
          <w:i/>
          <w:iCs/>
          <w:color w:val="222222"/>
          <w:sz w:val="22"/>
          <w:szCs w:val="22"/>
          <w:shd w:val="clear" w:color="auto" w:fill="FFFFFF"/>
        </w:rPr>
        <w:t>?</w:t>
      </w:r>
      <w:r w:rsidRPr="00211577">
        <w:rPr>
          <w:rStyle w:val="apple-converted-space"/>
          <w:i/>
          <w:color w:val="222222"/>
          <w:sz w:val="22"/>
          <w:szCs w:val="22"/>
          <w:shd w:val="clear" w:color="auto" w:fill="FFFFFF"/>
        </w:rPr>
        <w:t> </w:t>
      </w:r>
      <w:r w:rsidRPr="00211577">
        <w:rPr>
          <w:i/>
          <w:color w:val="222222"/>
          <w:sz w:val="22"/>
          <w:szCs w:val="22"/>
          <w:shd w:val="clear" w:color="auto" w:fill="FFFFFF"/>
        </w:rPr>
        <w:t xml:space="preserve">(Working Paper No. 11/08). International Monetary Fund, Washington DC. </w:t>
      </w:r>
      <w:hyperlink r:id="rId25" w:history="1">
        <w:r w:rsidRPr="00211577">
          <w:rPr>
            <w:rStyle w:val="Hyperlink"/>
            <w:i/>
            <w:sz w:val="22"/>
            <w:szCs w:val="22"/>
            <w:shd w:val="clear" w:color="auto" w:fill="FFFFFF"/>
          </w:rPr>
          <w:t>http://www.imf.org/external/pubs/ft/sdn/2011/sdn1108.pdf</w:t>
        </w:r>
      </w:hyperlink>
    </w:p>
    <w:p w:rsidR="00677116" w:rsidRPr="00211577" w:rsidRDefault="00677116" w:rsidP="00677116">
      <w:pPr>
        <w:rPr>
          <w:i/>
          <w:color w:val="222222"/>
          <w:sz w:val="22"/>
          <w:szCs w:val="22"/>
          <w:shd w:val="clear" w:color="auto" w:fill="FFFFFF"/>
        </w:rPr>
      </w:pPr>
      <w:r w:rsidRPr="00211577">
        <w:rPr>
          <w:i/>
          <w:color w:val="222222"/>
          <w:sz w:val="22"/>
          <w:szCs w:val="22"/>
          <w:shd w:val="clear" w:color="auto" w:fill="FFFFFF"/>
        </w:rPr>
        <w:t xml:space="preserve"> </w:t>
      </w:r>
    </w:p>
    <w:p w:rsidR="00677116" w:rsidRDefault="00677116" w:rsidP="00677116">
      <w:pPr>
        <w:rPr>
          <w:i/>
          <w:color w:val="222222"/>
          <w:sz w:val="22"/>
          <w:szCs w:val="22"/>
          <w:shd w:val="clear" w:color="auto" w:fill="FFFFFF"/>
        </w:rPr>
      </w:pPr>
      <w:r w:rsidRPr="00211577">
        <w:rPr>
          <w:i/>
          <w:color w:val="222222"/>
          <w:sz w:val="22"/>
          <w:szCs w:val="22"/>
          <w:shd w:val="clear" w:color="auto" w:fill="FFFFFF"/>
        </w:rPr>
        <w:t>Ostry, Mr Jonathan David, Mr Andrew Berg, and</w:t>
      </w:r>
      <w:r w:rsidR="00082F62" w:rsidRPr="00211577">
        <w:rPr>
          <w:i/>
          <w:color w:val="222222"/>
          <w:sz w:val="22"/>
          <w:szCs w:val="22"/>
          <w:shd w:val="clear" w:color="auto" w:fill="FFFFFF"/>
        </w:rPr>
        <w:t xml:space="preserve"> Mr Charalambos G. Tsangarides (2014) </w:t>
      </w:r>
      <w:r w:rsidRPr="00211577">
        <w:rPr>
          <w:i/>
          <w:color w:val="222222"/>
          <w:sz w:val="22"/>
          <w:szCs w:val="22"/>
          <w:shd w:val="clear" w:color="auto" w:fill="FFFFFF"/>
        </w:rPr>
        <w:t xml:space="preserve">Redistribution, inequality, and growth. </w:t>
      </w:r>
      <w:hyperlink r:id="rId26" w:history="1">
        <w:r w:rsidRPr="00211577">
          <w:rPr>
            <w:rStyle w:val="Hyperlink"/>
            <w:i/>
            <w:sz w:val="22"/>
            <w:szCs w:val="22"/>
            <w:shd w:val="clear" w:color="auto" w:fill="FFFFFF"/>
          </w:rPr>
          <w:t>International Monetary Fund</w:t>
        </w:r>
      </w:hyperlink>
      <w:r w:rsidRPr="00211577">
        <w:rPr>
          <w:i/>
          <w:color w:val="222222"/>
          <w:sz w:val="22"/>
          <w:szCs w:val="22"/>
          <w:shd w:val="clear" w:color="auto" w:fill="FFFFFF"/>
        </w:rPr>
        <w:t xml:space="preserve">.  </w:t>
      </w:r>
    </w:p>
    <w:p w:rsidR="00704ED9" w:rsidRPr="00211577" w:rsidRDefault="00704ED9" w:rsidP="00677116">
      <w:pPr>
        <w:rPr>
          <w:i/>
          <w:color w:val="222222"/>
          <w:sz w:val="22"/>
          <w:szCs w:val="22"/>
          <w:shd w:val="clear" w:color="auto" w:fill="FFFFFF"/>
        </w:rPr>
      </w:pPr>
    </w:p>
    <w:p w:rsidR="005D3DC0" w:rsidRPr="00677116" w:rsidRDefault="005D3DC0" w:rsidP="005D3DC0">
      <w:pPr>
        <w:jc w:val="center"/>
        <w:rPr>
          <w:i/>
          <w:color w:val="222222"/>
          <w:shd w:val="clear" w:color="auto" w:fill="FFFFFF"/>
        </w:rPr>
      </w:pPr>
    </w:p>
    <w:p w:rsidR="00E174A5" w:rsidRPr="00E174A5" w:rsidRDefault="00DA24B5" w:rsidP="00DA24B5">
      <w:pPr>
        <w:jc w:val="center"/>
      </w:pPr>
      <w:r>
        <w:rPr>
          <w:noProof/>
        </w:rPr>
        <w:drawing>
          <wp:inline distT="0" distB="0" distL="0" distR="0" wp14:anchorId="6614D845">
            <wp:extent cx="4637514" cy="3253740"/>
            <wp:effectExtent l="0" t="0" r="0" b="381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7"/>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9922" cy="3255430"/>
                    </a:xfrm>
                    <a:prstGeom prst="rect">
                      <a:avLst/>
                    </a:prstGeom>
                    <a:noFill/>
                  </pic:spPr>
                </pic:pic>
              </a:graphicData>
            </a:graphic>
          </wp:inline>
        </w:drawing>
      </w:r>
    </w:p>
    <w:p w:rsidR="00E174A5" w:rsidRDefault="00E174A5" w:rsidP="008C473D">
      <w:pPr>
        <w:pStyle w:val="Quote"/>
        <w:rPr>
          <w:b/>
          <w:color w:val="800000"/>
          <w:sz w:val="22"/>
          <w:szCs w:val="22"/>
        </w:rPr>
      </w:pPr>
    </w:p>
    <w:p w:rsidR="00DA24B5" w:rsidRDefault="00DA24B5" w:rsidP="00DA24B5">
      <w:r>
        <w:t>Please take a look at th</w:t>
      </w:r>
      <w:r w:rsidR="00E21BB8">
        <w:t xml:space="preserve">is IMF </w:t>
      </w:r>
      <w:hyperlink r:id="rId28" w:history="1">
        <w:r w:rsidR="00E21BB8" w:rsidRPr="00E21BB8">
          <w:rPr>
            <w:rStyle w:val="Hyperlink"/>
          </w:rPr>
          <w:t>WEO Chapter 2 and 3</w:t>
        </w:r>
      </w:hyperlink>
      <w:r>
        <w:t xml:space="preserve"> video, the first five minutes and the last 15 minutes (starting about minute 16 as shown above). </w:t>
      </w:r>
    </w:p>
    <w:p w:rsidR="00DA24B5" w:rsidRDefault="00704ED9" w:rsidP="00704ED9">
      <w:pPr>
        <w:jc w:val="center"/>
      </w:pPr>
      <w:r>
        <w:rPr>
          <w:noProof/>
        </w:rPr>
        <w:lastRenderedPageBreak/>
        <w:drawing>
          <wp:inline distT="0" distB="0" distL="0" distR="0" wp14:anchorId="2AA4F2F1">
            <wp:extent cx="3299460" cy="3215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99460" cy="3215640"/>
                    </a:xfrm>
                    <a:prstGeom prst="rect">
                      <a:avLst/>
                    </a:prstGeom>
                    <a:noFill/>
                  </pic:spPr>
                </pic:pic>
              </a:graphicData>
            </a:graphic>
          </wp:inline>
        </w:drawing>
      </w:r>
    </w:p>
    <w:sectPr w:rsidR="00DA24B5" w:rsidSect="00266FD6">
      <w:pgSz w:w="12240" w:h="15840"/>
      <w:pgMar w:top="980" w:right="840" w:bottom="840" w:left="9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D6" w:rsidRDefault="00831AD6" w:rsidP="00DF1DF1">
      <w:r>
        <w:separator/>
      </w:r>
    </w:p>
  </w:endnote>
  <w:endnote w:type="continuationSeparator" w:id="0">
    <w:p w:rsidR="00831AD6" w:rsidRDefault="00831AD6" w:rsidP="00DF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D6" w:rsidRDefault="00831AD6" w:rsidP="00DF1DF1">
      <w:r>
        <w:separator/>
      </w:r>
    </w:p>
  </w:footnote>
  <w:footnote w:type="continuationSeparator" w:id="0">
    <w:p w:rsidR="00831AD6" w:rsidRDefault="00831AD6" w:rsidP="00DF1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40A"/>
    <w:multiLevelType w:val="hybridMultilevel"/>
    <w:tmpl w:val="BEFA2884"/>
    <w:lvl w:ilvl="0" w:tplc="8BF26E4C">
      <w:start w:val="1"/>
      <w:numFmt w:val="decimal"/>
      <w:lvlText w:val="%1."/>
      <w:lvlJc w:val="left"/>
      <w:pPr>
        <w:ind w:left="765" w:hanging="360"/>
      </w:pPr>
      <w:rPr>
        <w:rFonts w:hint="default"/>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3026438"/>
    <w:multiLevelType w:val="hybridMultilevel"/>
    <w:tmpl w:val="B55C0282"/>
    <w:lvl w:ilvl="0" w:tplc="E62E389A">
      <w:start w:val="1"/>
      <w:numFmt w:val="decimal"/>
      <w:lvlText w:val="%1."/>
      <w:lvlJc w:val="left"/>
      <w:pPr>
        <w:ind w:left="405" w:hanging="360"/>
      </w:pPr>
      <w:rPr>
        <w:rFonts w:hint="default"/>
        <w:color w:val="8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C033C9D"/>
    <w:multiLevelType w:val="hybridMultilevel"/>
    <w:tmpl w:val="B55C0282"/>
    <w:lvl w:ilvl="0" w:tplc="E62E389A">
      <w:start w:val="1"/>
      <w:numFmt w:val="decimal"/>
      <w:lvlText w:val="%1."/>
      <w:lvlJc w:val="left"/>
      <w:pPr>
        <w:ind w:left="405" w:hanging="360"/>
      </w:pPr>
      <w:rPr>
        <w:rFonts w:hint="default"/>
        <w:color w:val="8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4F6B717C"/>
    <w:multiLevelType w:val="hybridMultilevel"/>
    <w:tmpl w:val="31B8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443FE"/>
    <w:multiLevelType w:val="hybridMultilevel"/>
    <w:tmpl w:val="35600C0A"/>
    <w:lvl w:ilvl="0" w:tplc="CCC66DBC">
      <w:start w:val="1"/>
      <w:numFmt w:val="decimal"/>
      <w:lvlText w:val="%1."/>
      <w:lvlJc w:val="left"/>
      <w:pPr>
        <w:tabs>
          <w:tab w:val="num" w:pos="360"/>
        </w:tabs>
        <w:ind w:left="360" w:hanging="360"/>
      </w:pPr>
      <w:rPr>
        <w:rFonts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DCE59CD"/>
    <w:multiLevelType w:val="hybridMultilevel"/>
    <w:tmpl w:val="E4D44BD4"/>
    <w:lvl w:ilvl="0" w:tplc="E62E389A">
      <w:start w:val="1"/>
      <w:numFmt w:val="decimal"/>
      <w:lvlText w:val="%1."/>
      <w:lvlJc w:val="left"/>
      <w:pPr>
        <w:ind w:left="405" w:hanging="360"/>
      </w:pPr>
      <w:rPr>
        <w:rFonts w:hint="default"/>
        <w:color w:val="8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88"/>
    <w:rsid w:val="00002547"/>
    <w:rsid w:val="00011030"/>
    <w:rsid w:val="0002759B"/>
    <w:rsid w:val="0005227A"/>
    <w:rsid w:val="0005323A"/>
    <w:rsid w:val="00071CC7"/>
    <w:rsid w:val="00076705"/>
    <w:rsid w:val="00081985"/>
    <w:rsid w:val="00082F62"/>
    <w:rsid w:val="00086254"/>
    <w:rsid w:val="00091F43"/>
    <w:rsid w:val="00092533"/>
    <w:rsid w:val="000B1F7E"/>
    <w:rsid w:val="000B43F0"/>
    <w:rsid w:val="000B77D2"/>
    <w:rsid w:val="000C0B22"/>
    <w:rsid w:val="000C565C"/>
    <w:rsid w:val="000D0E05"/>
    <w:rsid w:val="000D2073"/>
    <w:rsid w:val="000D3252"/>
    <w:rsid w:val="000E257B"/>
    <w:rsid w:val="000E7456"/>
    <w:rsid w:val="000F1B8B"/>
    <w:rsid w:val="001028F8"/>
    <w:rsid w:val="00103415"/>
    <w:rsid w:val="00122D6B"/>
    <w:rsid w:val="001232EA"/>
    <w:rsid w:val="0012513C"/>
    <w:rsid w:val="00126C01"/>
    <w:rsid w:val="00131A5E"/>
    <w:rsid w:val="00133335"/>
    <w:rsid w:val="00133CFA"/>
    <w:rsid w:val="0013785A"/>
    <w:rsid w:val="00142616"/>
    <w:rsid w:val="001451AD"/>
    <w:rsid w:val="00155AC1"/>
    <w:rsid w:val="00161893"/>
    <w:rsid w:val="00163A09"/>
    <w:rsid w:val="00164A20"/>
    <w:rsid w:val="00164C56"/>
    <w:rsid w:val="0017340B"/>
    <w:rsid w:val="00175350"/>
    <w:rsid w:val="001C1525"/>
    <w:rsid w:val="001C3E57"/>
    <w:rsid w:val="001D22DA"/>
    <w:rsid w:val="001D4D33"/>
    <w:rsid w:val="001D7F29"/>
    <w:rsid w:val="001E0184"/>
    <w:rsid w:val="001E0D7D"/>
    <w:rsid w:val="001E3E65"/>
    <w:rsid w:val="001E494F"/>
    <w:rsid w:val="001F6013"/>
    <w:rsid w:val="002022F0"/>
    <w:rsid w:val="00206012"/>
    <w:rsid w:val="00211577"/>
    <w:rsid w:val="002117E2"/>
    <w:rsid w:val="002209B9"/>
    <w:rsid w:val="00220F9E"/>
    <w:rsid w:val="00230D8A"/>
    <w:rsid w:val="00231788"/>
    <w:rsid w:val="00231D9F"/>
    <w:rsid w:val="00233249"/>
    <w:rsid w:val="00235008"/>
    <w:rsid w:val="00243D49"/>
    <w:rsid w:val="00243E99"/>
    <w:rsid w:val="00262FCD"/>
    <w:rsid w:val="00266FD6"/>
    <w:rsid w:val="002670A8"/>
    <w:rsid w:val="00272B8C"/>
    <w:rsid w:val="0028714D"/>
    <w:rsid w:val="0029164D"/>
    <w:rsid w:val="00293831"/>
    <w:rsid w:val="002A18ED"/>
    <w:rsid w:val="002A4541"/>
    <w:rsid w:val="002A7B71"/>
    <w:rsid w:val="002B00DA"/>
    <w:rsid w:val="002B0523"/>
    <w:rsid w:val="002B12DC"/>
    <w:rsid w:val="002C6B75"/>
    <w:rsid w:val="002D1DFF"/>
    <w:rsid w:val="002D1E95"/>
    <w:rsid w:val="002E792E"/>
    <w:rsid w:val="002F504F"/>
    <w:rsid w:val="00310FF6"/>
    <w:rsid w:val="00315619"/>
    <w:rsid w:val="0032679C"/>
    <w:rsid w:val="00335B70"/>
    <w:rsid w:val="00341FD2"/>
    <w:rsid w:val="00343A65"/>
    <w:rsid w:val="00347813"/>
    <w:rsid w:val="0035131F"/>
    <w:rsid w:val="003550B9"/>
    <w:rsid w:val="00364FA6"/>
    <w:rsid w:val="00373FCC"/>
    <w:rsid w:val="00374387"/>
    <w:rsid w:val="0038294B"/>
    <w:rsid w:val="00384E98"/>
    <w:rsid w:val="00386059"/>
    <w:rsid w:val="003A1BF6"/>
    <w:rsid w:val="003A5ED1"/>
    <w:rsid w:val="003B322F"/>
    <w:rsid w:val="003C6EE3"/>
    <w:rsid w:val="003C7E2E"/>
    <w:rsid w:val="003D5F9B"/>
    <w:rsid w:val="003E5565"/>
    <w:rsid w:val="004366D8"/>
    <w:rsid w:val="004424E0"/>
    <w:rsid w:val="004537B5"/>
    <w:rsid w:val="004621A8"/>
    <w:rsid w:val="00465560"/>
    <w:rsid w:val="00466902"/>
    <w:rsid w:val="00471AFE"/>
    <w:rsid w:val="00474034"/>
    <w:rsid w:val="00477B98"/>
    <w:rsid w:val="00480B7C"/>
    <w:rsid w:val="004846BA"/>
    <w:rsid w:val="00491418"/>
    <w:rsid w:val="004A08BE"/>
    <w:rsid w:val="004B2A64"/>
    <w:rsid w:val="004C02ED"/>
    <w:rsid w:val="004C204B"/>
    <w:rsid w:val="004C6D3A"/>
    <w:rsid w:val="004D2677"/>
    <w:rsid w:val="004D7FC7"/>
    <w:rsid w:val="004E2C7B"/>
    <w:rsid w:val="004F17F9"/>
    <w:rsid w:val="004F7451"/>
    <w:rsid w:val="005022A7"/>
    <w:rsid w:val="00503449"/>
    <w:rsid w:val="00505CC2"/>
    <w:rsid w:val="005166AC"/>
    <w:rsid w:val="00520891"/>
    <w:rsid w:val="00520C29"/>
    <w:rsid w:val="005278CD"/>
    <w:rsid w:val="00545FD9"/>
    <w:rsid w:val="00551EEF"/>
    <w:rsid w:val="00556E42"/>
    <w:rsid w:val="005629D5"/>
    <w:rsid w:val="00563C5F"/>
    <w:rsid w:val="00573B9B"/>
    <w:rsid w:val="005760E2"/>
    <w:rsid w:val="00590DB2"/>
    <w:rsid w:val="00591854"/>
    <w:rsid w:val="00591ADA"/>
    <w:rsid w:val="0059257A"/>
    <w:rsid w:val="00592FA1"/>
    <w:rsid w:val="005A593B"/>
    <w:rsid w:val="005B673C"/>
    <w:rsid w:val="005C1F83"/>
    <w:rsid w:val="005D0353"/>
    <w:rsid w:val="005D1078"/>
    <w:rsid w:val="005D3DC0"/>
    <w:rsid w:val="005E2FD4"/>
    <w:rsid w:val="005E792C"/>
    <w:rsid w:val="005F019A"/>
    <w:rsid w:val="005F31CA"/>
    <w:rsid w:val="005F4CEE"/>
    <w:rsid w:val="005F7C1E"/>
    <w:rsid w:val="00603CBF"/>
    <w:rsid w:val="00603DE4"/>
    <w:rsid w:val="0060592C"/>
    <w:rsid w:val="0060729E"/>
    <w:rsid w:val="006101BD"/>
    <w:rsid w:val="006141CE"/>
    <w:rsid w:val="00622E43"/>
    <w:rsid w:val="00630107"/>
    <w:rsid w:val="00632301"/>
    <w:rsid w:val="006325F0"/>
    <w:rsid w:val="00634D82"/>
    <w:rsid w:val="006370F0"/>
    <w:rsid w:val="00651154"/>
    <w:rsid w:val="0066169B"/>
    <w:rsid w:val="00663875"/>
    <w:rsid w:val="0066449D"/>
    <w:rsid w:val="00677116"/>
    <w:rsid w:val="00681A73"/>
    <w:rsid w:val="00691544"/>
    <w:rsid w:val="006A0AFB"/>
    <w:rsid w:val="006B0523"/>
    <w:rsid w:val="006C0809"/>
    <w:rsid w:val="006C3B6A"/>
    <w:rsid w:val="006E38E0"/>
    <w:rsid w:val="006F6185"/>
    <w:rsid w:val="00704ED9"/>
    <w:rsid w:val="00711AF6"/>
    <w:rsid w:val="00726715"/>
    <w:rsid w:val="0075057B"/>
    <w:rsid w:val="00751CC6"/>
    <w:rsid w:val="00755E74"/>
    <w:rsid w:val="0076376A"/>
    <w:rsid w:val="007646E7"/>
    <w:rsid w:val="007658D0"/>
    <w:rsid w:val="00767EA6"/>
    <w:rsid w:val="00771560"/>
    <w:rsid w:val="0077257C"/>
    <w:rsid w:val="00773E18"/>
    <w:rsid w:val="00781245"/>
    <w:rsid w:val="00792730"/>
    <w:rsid w:val="0079469E"/>
    <w:rsid w:val="007A1D41"/>
    <w:rsid w:val="007A34FB"/>
    <w:rsid w:val="007A3935"/>
    <w:rsid w:val="007B1ADF"/>
    <w:rsid w:val="007B3E43"/>
    <w:rsid w:val="007C4D85"/>
    <w:rsid w:val="007D5461"/>
    <w:rsid w:val="007E6B9F"/>
    <w:rsid w:val="007F4DCC"/>
    <w:rsid w:val="00812A89"/>
    <w:rsid w:val="008146AA"/>
    <w:rsid w:val="0081676A"/>
    <w:rsid w:val="00831AD6"/>
    <w:rsid w:val="008357C5"/>
    <w:rsid w:val="008407E6"/>
    <w:rsid w:val="00846C50"/>
    <w:rsid w:val="00852104"/>
    <w:rsid w:val="00855B33"/>
    <w:rsid w:val="00862CBB"/>
    <w:rsid w:val="0086314B"/>
    <w:rsid w:val="0087259B"/>
    <w:rsid w:val="00872E0C"/>
    <w:rsid w:val="00877765"/>
    <w:rsid w:val="008A0192"/>
    <w:rsid w:val="008C0A82"/>
    <w:rsid w:val="008C1A66"/>
    <w:rsid w:val="008C473D"/>
    <w:rsid w:val="008D1AF1"/>
    <w:rsid w:val="008D70DA"/>
    <w:rsid w:val="008F4710"/>
    <w:rsid w:val="008F5D63"/>
    <w:rsid w:val="009078B0"/>
    <w:rsid w:val="00913B42"/>
    <w:rsid w:val="00920D02"/>
    <w:rsid w:val="009238DF"/>
    <w:rsid w:val="00924C23"/>
    <w:rsid w:val="0092560D"/>
    <w:rsid w:val="00926E08"/>
    <w:rsid w:val="00926E1A"/>
    <w:rsid w:val="00931A0E"/>
    <w:rsid w:val="00932778"/>
    <w:rsid w:val="009362B2"/>
    <w:rsid w:val="00947B23"/>
    <w:rsid w:val="009537DC"/>
    <w:rsid w:val="00954AE5"/>
    <w:rsid w:val="00963CC1"/>
    <w:rsid w:val="00987AE6"/>
    <w:rsid w:val="00994D78"/>
    <w:rsid w:val="009A7299"/>
    <w:rsid w:val="009B11D3"/>
    <w:rsid w:val="009B5BF6"/>
    <w:rsid w:val="009B6494"/>
    <w:rsid w:val="009C015F"/>
    <w:rsid w:val="009C43BE"/>
    <w:rsid w:val="009D046F"/>
    <w:rsid w:val="009D1194"/>
    <w:rsid w:val="009D6723"/>
    <w:rsid w:val="009D77FA"/>
    <w:rsid w:val="009F1370"/>
    <w:rsid w:val="009F5C5E"/>
    <w:rsid w:val="009F6999"/>
    <w:rsid w:val="00A007E6"/>
    <w:rsid w:val="00A0296B"/>
    <w:rsid w:val="00A06D08"/>
    <w:rsid w:val="00A20C2D"/>
    <w:rsid w:val="00A22F59"/>
    <w:rsid w:val="00A230BB"/>
    <w:rsid w:val="00A23492"/>
    <w:rsid w:val="00A25F55"/>
    <w:rsid w:val="00A279F0"/>
    <w:rsid w:val="00A43B9D"/>
    <w:rsid w:val="00A67DFF"/>
    <w:rsid w:val="00A70A3D"/>
    <w:rsid w:val="00A7317F"/>
    <w:rsid w:val="00A77831"/>
    <w:rsid w:val="00A87681"/>
    <w:rsid w:val="00A96339"/>
    <w:rsid w:val="00A9779E"/>
    <w:rsid w:val="00AA0408"/>
    <w:rsid w:val="00AA51E7"/>
    <w:rsid w:val="00AB1041"/>
    <w:rsid w:val="00AF5AF1"/>
    <w:rsid w:val="00AF6920"/>
    <w:rsid w:val="00B06F2F"/>
    <w:rsid w:val="00B11982"/>
    <w:rsid w:val="00B12D3A"/>
    <w:rsid w:val="00B2600F"/>
    <w:rsid w:val="00B3001F"/>
    <w:rsid w:val="00B31C1B"/>
    <w:rsid w:val="00B62CA8"/>
    <w:rsid w:val="00B66184"/>
    <w:rsid w:val="00B67BE0"/>
    <w:rsid w:val="00B7091E"/>
    <w:rsid w:val="00B730CA"/>
    <w:rsid w:val="00B765D8"/>
    <w:rsid w:val="00B87F59"/>
    <w:rsid w:val="00BA0BCC"/>
    <w:rsid w:val="00BA2148"/>
    <w:rsid w:val="00BA7520"/>
    <w:rsid w:val="00BB1BBF"/>
    <w:rsid w:val="00BB37E5"/>
    <w:rsid w:val="00BB4E3B"/>
    <w:rsid w:val="00BB79ED"/>
    <w:rsid w:val="00BC1F83"/>
    <w:rsid w:val="00BC48E6"/>
    <w:rsid w:val="00BC4C7C"/>
    <w:rsid w:val="00BE2E14"/>
    <w:rsid w:val="00BF0F88"/>
    <w:rsid w:val="00BF7B1F"/>
    <w:rsid w:val="00C05917"/>
    <w:rsid w:val="00C14C85"/>
    <w:rsid w:val="00C203AD"/>
    <w:rsid w:val="00C24101"/>
    <w:rsid w:val="00C25009"/>
    <w:rsid w:val="00C31DC7"/>
    <w:rsid w:val="00C37184"/>
    <w:rsid w:val="00C4256F"/>
    <w:rsid w:val="00C52E26"/>
    <w:rsid w:val="00C615BE"/>
    <w:rsid w:val="00C617A1"/>
    <w:rsid w:val="00C64210"/>
    <w:rsid w:val="00C71A49"/>
    <w:rsid w:val="00C74280"/>
    <w:rsid w:val="00C80D68"/>
    <w:rsid w:val="00C82788"/>
    <w:rsid w:val="00C832A5"/>
    <w:rsid w:val="00C963D8"/>
    <w:rsid w:val="00CB1C56"/>
    <w:rsid w:val="00CB2C74"/>
    <w:rsid w:val="00CB46A5"/>
    <w:rsid w:val="00CB5755"/>
    <w:rsid w:val="00CB5D1A"/>
    <w:rsid w:val="00CC362E"/>
    <w:rsid w:val="00CC46DD"/>
    <w:rsid w:val="00CD746C"/>
    <w:rsid w:val="00CD74AB"/>
    <w:rsid w:val="00CE5112"/>
    <w:rsid w:val="00CF1409"/>
    <w:rsid w:val="00CF1445"/>
    <w:rsid w:val="00CF1BE0"/>
    <w:rsid w:val="00CF1D52"/>
    <w:rsid w:val="00CF41A1"/>
    <w:rsid w:val="00D0194B"/>
    <w:rsid w:val="00D03E66"/>
    <w:rsid w:val="00D06A64"/>
    <w:rsid w:val="00D131FD"/>
    <w:rsid w:val="00D17776"/>
    <w:rsid w:val="00D33C6D"/>
    <w:rsid w:val="00D46AE7"/>
    <w:rsid w:val="00D47CF7"/>
    <w:rsid w:val="00D525E6"/>
    <w:rsid w:val="00D52ED7"/>
    <w:rsid w:val="00D549D4"/>
    <w:rsid w:val="00D55232"/>
    <w:rsid w:val="00D567A7"/>
    <w:rsid w:val="00D75298"/>
    <w:rsid w:val="00D7610D"/>
    <w:rsid w:val="00D8377D"/>
    <w:rsid w:val="00D86146"/>
    <w:rsid w:val="00D87B79"/>
    <w:rsid w:val="00D92D6E"/>
    <w:rsid w:val="00D952A8"/>
    <w:rsid w:val="00D953EE"/>
    <w:rsid w:val="00D968C1"/>
    <w:rsid w:val="00DA24B5"/>
    <w:rsid w:val="00DB79DC"/>
    <w:rsid w:val="00DC50F6"/>
    <w:rsid w:val="00DD1FF6"/>
    <w:rsid w:val="00DE50F2"/>
    <w:rsid w:val="00DF1DF1"/>
    <w:rsid w:val="00DF2C82"/>
    <w:rsid w:val="00E131E3"/>
    <w:rsid w:val="00E15341"/>
    <w:rsid w:val="00E174A5"/>
    <w:rsid w:val="00E21BB8"/>
    <w:rsid w:val="00E262CD"/>
    <w:rsid w:val="00E3285D"/>
    <w:rsid w:val="00E46624"/>
    <w:rsid w:val="00E51807"/>
    <w:rsid w:val="00E55F32"/>
    <w:rsid w:val="00E6412B"/>
    <w:rsid w:val="00E64951"/>
    <w:rsid w:val="00E739D6"/>
    <w:rsid w:val="00E82AE4"/>
    <w:rsid w:val="00E9111A"/>
    <w:rsid w:val="00EA50D5"/>
    <w:rsid w:val="00EA5E5A"/>
    <w:rsid w:val="00EC0C7F"/>
    <w:rsid w:val="00EC0E2F"/>
    <w:rsid w:val="00ED5B42"/>
    <w:rsid w:val="00ED6C24"/>
    <w:rsid w:val="00EF29F6"/>
    <w:rsid w:val="00EF2A09"/>
    <w:rsid w:val="00F2138E"/>
    <w:rsid w:val="00F223A0"/>
    <w:rsid w:val="00F33842"/>
    <w:rsid w:val="00F33DF0"/>
    <w:rsid w:val="00F34907"/>
    <w:rsid w:val="00F44A8C"/>
    <w:rsid w:val="00F7063C"/>
    <w:rsid w:val="00F747D2"/>
    <w:rsid w:val="00F74992"/>
    <w:rsid w:val="00F82696"/>
    <w:rsid w:val="00F83B30"/>
    <w:rsid w:val="00F9470A"/>
    <w:rsid w:val="00FA741B"/>
    <w:rsid w:val="00FB0259"/>
    <w:rsid w:val="00FB35D1"/>
    <w:rsid w:val="00FB4472"/>
    <w:rsid w:val="00FC0136"/>
    <w:rsid w:val="00FC19E3"/>
    <w:rsid w:val="00FE35CA"/>
    <w:rsid w:val="00FE7277"/>
    <w:rsid w:val="00FF3532"/>
    <w:rsid w:val="00FF6256"/>
    <w:rsid w:val="00FF7035"/>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F5DF8-C5D6-4FB1-87A7-5D6CDB62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20C29"/>
    <w:rPr>
      <w:sz w:val="24"/>
      <w:szCs w:val="24"/>
    </w:rPr>
  </w:style>
  <w:style w:type="paragraph" w:styleId="Heading1">
    <w:name w:val="heading 1"/>
    <w:basedOn w:val="Normal"/>
    <w:next w:val="Normal"/>
    <w:qFormat/>
    <w:rsid w:val="00520C29"/>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0C29"/>
    <w:rPr>
      <w:color w:val="0000FF"/>
      <w:u w:val="single"/>
    </w:rPr>
  </w:style>
  <w:style w:type="character" w:styleId="FollowedHyperlink">
    <w:name w:val="FollowedHyperlink"/>
    <w:basedOn w:val="DefaultParagraphFont"/>
    <w:rsid w:val="00F223A0"/>
    <w:rPr>
      <w:color w:val="800080"/>
      <w:u w:val="single"/>
    </w:rPr>
  </w:style>
  <w:style w:type="paragraph" w:customStyle="1" w:styleId="section1">
    <w:name w:val="section1"/>
    <w:basedOn w:val="Normal"/>
    <w:rsid w:val="007B1ADF"/>
    <w:pPr>
      <w:spacing w:before="100" w:beforeAutospacing="1" w:after="100" w:afterAutospacing="1"/>
    </w:pPr>
  </w:style>
  <w:style w:type="paragraph" w:styleId="ListParagraph">
    <w:name w:val="List Paragraph"/>
    <w:basedOn w:val="Normal"/>
    <w:uiPriority w:val="34"/>
    <w:qFormat/>
    <w:rsid w:val="008A0192"/>
    <w:pPr>
      <w:ind w:left="720"/>
      <w:contextualSpacing/>
    </w:pPr>
  </w:style>
  <w:style w:type="paragraph" w:styleId="BalloonText">
    <w:name w:val="Balloon Text"/>
    <w:basedOn w:val="Normal"/>
    <w:link w:val="BalloonTextChar"/>
    <w:rsid w:val="00EC0E2F"/>
    <w:rPr>
      <w:rFonts w:ascii="Tahoma" w:hAnsi="Tahoma" w:cs="Tahoma"/>
      <w:sz w:val="16"/>
      <w:szCs w:val="16"/>
    </w:rPr>
  </w:style>
  <w:style w:type="character" w:customStyle="1" w:styleId="BalloonTextChar">
    <w:name w:val="Balloon Text Char"/>
    <w:basedOn w:val="DefaultParagraphFont"/>
    <w:link w:val="BalloonText"/>
    <w:rsid w:val="00EC0E2F"/>
    <w:rPr>
      <w:rFonts w:ascii="Tahoma" w:hAnsi="Tahoma" w:cs="Tahoma"/>
      <w:sz w:val="16"/>
      <w:szCs w:val="16"/>
    </w:rPr>
  </w:style>
  <w:style w:type="paragraph" w:styleId="Quote">
    <w:name w:val="Quote"/>
    <w:basedOn w:val="Normal"/>
    <w:next w:val="Normal"/>
    <w:link w:val="QuoteChar"/>
    <w:uiPriority w:val="29"/>
    <w:qFormat/>
    <w:rsid w:val="00B62CA8"/>
    <w:rPr>
      <w:i/>
      <w:iCs/>
      <w:color w:val="000000" w:themeColor="text1"/>
    </w:rPr>
  </w:style>
  <w:style w:type="character" w:customStyle="1" w:styleId="QuoteChar">
    <w:name w:val="Quote Char"/>
    <w:basedOn w:val="DefaultParagraphFont"/>
    <w:link w:val="Quote"/>
    <w:uiPriority w:val="29"/>
    <w:rsid w:val="00B62CA8"/>
    <w:rPr>
      <w:i/>
      <w:iCs/>
      <w:color w:val="000000" w:themeColor="text1"/>
      <w:sz w:val="24"/>
      <w:szCs w:val="24"/>
    </w:rPr>
  </w:style>
  <w:style w:type="character" w:customStyle="1" w:styleId="apple-converted-space">
    <w:name w:val="apple-converted-space"/>
    <w:basedOn w:val="DefaultParagraphFont"/>
    <w:rsid w:val="00622E43"/>
  </w:style>
  <w:style w:type="paragraph" w:styleId="FootnoteText">
    <w:name w:val="footnote text"/>
    <w:basedOn w:val="Normal"/>
    <w:link w:val="FootnoteTextChar"/>
    <w:semiHidden/>
    <w:unhideWhenUsed/>
    <w:rsid w:val="00DF1DF1"/>
    <w:rPr>
      <w:sz w:val="20"/>
      <w:szCs w:val="20"/>
    </w:rPr>
  </w:style>
  <w:style w:type="character" w:customStyle="1" w:styleId="FootnoteTextChar">
    <w:name w:val="Footnote Text Char"/>
    <w:basedOn w:val="DefaultParagraphFont"/>
    <w:link w:val="FootnoteText"/>
    <w:semiHidden/>
    <w:rsid w:val="00DF1DF1"/>
  </w:style>
  <w:style w:type="character" w:styleId="FootnoteReference">
    <w:name w:val="footnote reference"/>
    <w:basedOn w:val="DefaultParagraphFont"/>
    <w:semiHidden/>
    <w:unhideWhenUsed/>
    <w:rsid w:val="00DF1DF1"/>
    <w:rPr>
      <w:vertAlign w:val="superscript"/>
    </w:rPr>
  </w:style>
  <w:style w:type="character" w:styleId="Mention">
    <w:name w:val="Mention"/>
    <w:basedOn w:val="DefaultParagraphFont"/>
    <w:uiPriority w:val="99"/>
    <w:semiHidden/>
    <w:unhideWhenUsed/>
    <w:rsid w:val="004655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581">
      <w:bodyDiv w:val="1"/>
      <w:marLeft w:val="0"/>
      <w:marRight w:val="0"/>
      <w:marTop w:val="0"/>
      <w:marBottom w:val="0"/>
      <w:divBdr>
        <w:top w:val="none" w:sz="0" w:space="0" w:color="auto"/>
        <w:left w:val="none" w:sz="0" w:space="0" w:color="auto"/>
        <w:bottom w:val="none" w:sz="0" w:space="0" w:color="auto"/>
        <w:right w:val="none" w:sz="0" w:space="0" w:color="auto"/>
      </w:divBdr>
    </w:div>
    <w:div w:id="1888955118">
      <w:bodyDiv w:val="1"/>
      <w:marLeft w:val="0"/>
      <w:marRight w:val="0"/>
      <w:marTop w:val="0"/>
      <w:marBottom w:val="0"/>
      <w:divBdr>
        <w:top w:val="none" w:sz="0" w:space="0" w:color="auto"/>
        <w:left w:val="none" w:sz="0" w:space="0" w:color="auto"/>
        <w:bottom w:val="none" w:sz="0" w:space="0" w:color="auto"/>
        <w:right w:val="none" w:sz="0" w:space="0" w:color="auto"/>
      </w:divBdr>
      <w:divsChild>
        <w:div w:id="665281973">
          <w:marLeft w:val="0"/>
          <w:marRight w:val="0"/>
          <w:marTop w:val="0"/>
          <w:marBottom w:val="0"/>
          <w:divBdr>
            <w:top w:val="none" w:sz="0" w:space="0" w:color="auto"/>
            <w:left w:val="none" w:sz="0" w:space="0" w:color="auto"/>
            <w:bottom w:val="none" w:sz="0" w:space="0" w:color="auto"/>
            <w:right w:val="none" w:sz="0" w:space="0" w:color="auto"/>
          </w:divBdr>
          <w:divsChild>
            <w:div w:id="65497097">
              <w:marLeft w:val="0"/>
              <w:marRight w:val="0"/>
              <w:marTop w:val="0"/>
              <w:marBottom w:val="0"/>
              <w:divBdr>
                <w:top w:val="none" w:sz="0" w:space="0" w:color="auto"/>
                <w:left w:val="none" w:sz="0" w:space="0" w:color="auto"/>
                <w:bottom w:val="none" w:sz="0" w:space="0" w:color="auto"/>
                <w:right w:val="none" w:sz="0" w:space="0" w:color="auto"/>
              </w:divBdr>
            </w:div>
            <w:div w:id="159854429">
              <w:marLeft w:val="0"/>
              <w:marRight w:val="0"/>
              <w:marTop w:val="0"/>
              <w:marBottom w:val="0"/>
              <w:divBdr>
                <w:top w:val="none" w:sz="0" w:space="0" w:color="auto"/>
                <w:left w:val="none" w:sz="0" w:space="0" w:color="auto"/>
                <w:bottom w:val="none" w:sz="0" w:space="0" w:color="auto"/>
                <w:right w:val="none" w:sz="0" w:space="0" w:color="auto"/>
              </w:divBdr>
            </w:div>
            <w:div w:id="278756684">
              <w:marLeft w:val="0"/>
              <w:marRight w:val="0"/>
              <w:marTop w:val="0"/>
              <w:marBottom w:val="0"/>
              <w:divBdr>
                <w:top w:val="none" w:sz="0" w:space="0" w:color="auto"/>
                <w:left w:val="none" w:sz="0" w:space="0" w:color="auto"/>
                <w:bottom w:val="none" w:sz="0" w:space="0" w:color="auto"/>
                <w:right w:val="none" w:sz="0" w:space="0" w:color="auto"/>
              </w:divBdr>
            </w:div>
            <w:div w:id="291711640">
              <w:marLeft w:val="0"/>
              <w:marRight w:val="0"/>
              <w:marTop w:val="0"/>
              <w:marBottom w:val="0"/>
              <w:divBdr>
                <w:top w:val="none" w:sz="0" w:space="0" w:color="auto"/>
                <w:left w:val="none" w:sz="0" w:space="0" w:color="auto"/>
                <w:bottom w:val="none" w:sz="0" w:space="0" w:color="auto"/>
                <w:right w:val="none" w:sz="0" w:space="0" w:color="auto"/>
              </w:divBdr>
            </w:div>
            <w:div w:id="301616027">
              <w:marLeft w:val="0"/>
              <w:marRight w:val="0"/>
              <w:marTop w:val="0"/>
              <w:marBottom w:val="0"/>
              <w:divBdr>
                <w:top w:val="none" w:sz="0" w:space="0" w:color="auto"/>
                <w:left w:val="none" w:sz="0" w:space="0" w:color="auto"/>
                <w:bottom w:val="none" w:sz="0" w:space="0" w:color="auto"/>
                <w:right w:val="none" w:sz="0" w:space="0" w:color="auto"/>
              </w:divBdr>
            </w:div>
            <w:div w:id="311720615">
              <w:marLeft w:val="0"/>
              <w:marRight w:val="0"/>
              <w:marTop w:val="0"/>
              <w:marBottom w:val="0"/>
              <w:divBdr>
                <w:top w:val="none" w:sz="0" w:space="0" w:color="auto"/>
                <w:left w:val="none" w:sz="0" w:space="0" w:color="auto"/>
                <w:bottom w:val="none" w:sz="0" w:space="0" w:color="auto"/>
                <w:right w:val="none" w:sz="0" w:space="0" w:color="auto"/>
              </w:divBdr>
            </w:div>
            <w:div w:id="347486188">
              <w:marLeft w:val="0"/>
              <w:marRight w:val="0"/>
              <w:marTop w:val="0"/>
              <w:marBottom w:val="0"/>
              <w:divBdr>
                <w:top w:val="none" w:sz="0" w:space="0" w:color="auto"/>
                <w:left w:val="none" w:sz="0" w:space="0" w:color="auto"/>
                <w:bottom w:val="none" w:sz="0" w:space="0" w:color="auto"/>
                <w:right w:val="none" w:sz="0" w:space="0" w:color="auto"/>
              </w:divBdr>
            </w:div>
            <w:div w:id="406077941">
              <w:marLeft w:val="0"/>
              <w:marRight w:val="0"/>
              <w:marTop w:val="0"/>
              <w:marBottom w:val="0"/>
              <w:divBdr>
                <w:top w:val="none" w:sz="0" w:space="0" w:color="auto"/>
                <w:left w:val="none" w:sz="0" w:space="0" w:color="auto"/>
                <w:bottom w:val="none" w:sz="0" w:space="0" w:color="auto"/>
                <w:right w:val="none" w:sz="0" w:space="0" w:color="auto"/>
              </w:divBdr>
            </w:div>
            <w:div w:id="619144422">
              <w:marLeft w:val="0"/>
              <w:marRight w:val="0"/>
              <w:marTop w:val="0"/>
              <w:marBottom w:val="0"/>
              <w:divBdr>
                <w:top w:val="none" w:sz="0" w:space="0" w:color="auto"/>
                <w:left w:val="none" w:sz="0" w:space="0" w:color="auto"/>
                <w:bottom w:val="none" w:sz="0" w:space="0" w:color="auto"/>
                <w:right w:val="none" w:sz="0" w:space="0" w:color="auto"/>
              </w:divBdr>
            </w:div>
            <w:div w:id="622884500">
              <w:marLeft w:val="0"/>
              <w:marRight w:val="0"/>
              <w:marTop w:val="0"/>
              <w:marBottom w:val="0"/>
              <w:divBdr>
                <w:top w:val="none" w:sz="0" w:space="0" w:color="auto"/>
                <w:left w:val="none" w:sz="0" w:space="0" w:color="auto"/>
                <w:bottom w:val="none" w:sz="0" w:space="0" w:color="auto"/>
                <w:right w:val="none" w:sz="0" w:space="0" w:color="auto"/>
              </w:divBdr>
            </w:div>
            <w:div w:id="662970457">
              <w:marLeft w:val="0"/>
              <w:marRight w:val="0"/>
              <w:marTop w:val="0"/>
              <w:marBottom w:val="0"/>
              <w:divBdr>
                <w:top w:val="none" w:sz="0" w:space="0" w:color="auto"/>
                <w:left w:val="none" w:sz="0" w:space="0" w:color="auto"/>
                <w:bottom w:val="none" w:sz="0" w:space="0" w:color="auto"/>
                <w:right w:val="none" w:sz="0" w:space="0" w:color="auto"/>
              </w:divBdr>
            </w:div>
            <w:div w:id="826172725">
              <w:marLeft w:val="0"/>
              <w:marRight w:val="0"/>
              <w:marTop w:val="0"/>
              <w:marBottom w:val="0"/>
              <w:divBdr>
                <w:top w:val="none" w:sz="0" w:space="0" w:color="auto"/>
                <w:left w:val="none" w:sz="0" w:space="0" w:color="auto"/>
                <w:bottom w:val="none" w:sz="0" w:space="0" w:color="auto"/>
                <w:right w:val="none" w:sz="0" w:space="0" w:color="auto"/>
              </w:divBdr>
            </w:div>
            <w:div w:id="843739327">
              <w:marLeft w:val="0"/>
              <w:marRight w:val="0"/>
              <w:marTop w:val="0"/>
              <w:marBottom w:val="0"/>
              <w:divBdr>
                <w:top w:val="none" w:sz="0" w:space="0" w:color="auto"/>
                <w:left w:val="none" w:sz="0" w:space="0" w:color="auto"/>
                <w:bottom w:val="none" w:sz="0" w:space="0" w:color="auto"/>
                <w:right w:val="none" w:sz="0" w:space="0" w:color="auto"/>
              </w:divBdr>
            </w:div>
            <w:div w:id="936518127">
              <w:marLeft w:val="0"/>
              <w:marRight w:val="0"/>
              <w:marTop w:val="0"/>
              <w:marBottom w:val="0"/>
              <w:divBdr>
                <w:top w:val="none" w:sz="0" w:space="0" w:color="auto"/>
                <w:left w:val="none" w:sz="0" w:space="0" w:color="auto"/>
                <w:bottom w:val="none" w:sz="0" w:space="0" w:color="auto"/>
                <w:right w:val="none" w:sz="0" w:space="0" w:color="auto"/>
              </w:divBdr>
            </w:div>
            <w:div w:id="959796552">
              <w:marLeft w:val="0"/>
              <w:marRight w:val="0"/>
              <w:marTop w:val="0"/>
              <w:marBottom w:val="0"/>
              <w:divBdr>
                <w:top w:val="none" w:sz="0" w:space="0" w:color="auto"/>
                <w:left w:val="none" w:sz="0" w:space="0" w:color="auto"/>
                <w:bottom w:val="none" w:sz="0" w:space="0" w:color="auto"/>
                <w:right w:val="none" w:sz="0" w:space="0" w:color="auto"/>
              </w:divBdr>
            </w:div>
            <w:div w:id="1015959955">
              <w:marLeft w:val="0"/>
              <w:marRight w:val="0"/>
              <w:marTop w:val="0"/>
              <w:marBottom w:val="0"/>
              <w:divBdr>
                <w:top w:val="none" w:sz="0" w:space="0" w:color="auto"/>
                <w:left w:val="none" w:sz="0" w:space="0" w:color="auto"/>
                <w:bottom w:val="none" w:sz="0" w:space="0" w:color="auto"/>
                <w:right w:val="none" w:sz="0" w:space="0" w:color="auto"/>
              </w:divBdr>
            </w:div>
            <w:div w:id="1173179212">
              <w:marLeft w:val="0"/>
              <w:marRight w:val="0"/>
              <w:marTop w:val="0"/>
              <w:marBottom w:val="0"/>
              <w:divBdr>
                <w:top w:val="none" w:sz="0" w:space="0" w:color="auto"/>
                <w:left w:val="none" w:sz="0" w:space="0" w:color="auto"/>
                <w:bottom w:val="none" w:sz="0" w:space="0" w:color="auto"/>
                <w:right w:val="none" w:sz="0" w:space="0" w:color="auto"/>
              </w:divBdr>
            </w:div>
            <w:div w:id="1175261964">
              <w:marLeft w:val="0"/>
              <w:marRight w:val="0"/>
              <w:marTop w:val="0"/>
              <w:marBottom w:val="0"/>
              <w:divBdr>
                <w:top w:val="none" w:sz="0" w:space="0" w:color="auto"/>
                <w:left w:val="none" w:sz="0" w:space="0" w:color="auto"/>
                <w:bottom w:val="none" w:sz="0" w:space="0" w:color="auto"/>
                <w:right w:val="none" w:sz="0" w:space="0" w:color="auto"/>
              </w:divBdr>
            </w:div>
            <w:div w:id="1226768628">
              <w:marLeft w:val="0"/>
              <w:marRight w:val="0"/>
              <w:marTop w:val="0"/>
              <w:marBottom w:val="0"/>
              <w:divBdr>
                <w:top w:val="none" w:sz="0" w:space="0" w:color="auto"/>
                <w:left w:val="none" w:sz="0" w:space="0" w:color="auto"/>
                <w:bottom w:val="none" w:sz="0" w:space="0" w:color="auto"/>
                <w:right w:val="none" w:sz="0" w:space="0" w:color="auto"/>
              </w:divBdr>
            </w:div>
            <w:div w:id="1230846529">
              <w:marLeft w:val="0"/>
              <w:marRight w:val="0"/>
              <w:marTop w:val="0"/>
              <w:marBottom w:val="0"/>
              <w:divBdr>
                <w:top w:val="none" w:sz="0" w:space="0" w:color="auto"/>
                <w:left w:val="none" w:sz="0" w:space="0" w:color="auto"/>
                <w:bottom w:val="none" w:sz="0" w:space="0" w:color="auto"/>
                <w:right w:val="none" w:sz="0" w:space="0" w:color="auto"/>
              </w:divBdr>
            </w:div>
            <w:div w:id="1248465229">
              <w:marLeft w:val="0"/>
              <w:marRight w:val="0"/>
              <w:marTop w:val="0"/>
              <w:marBottom w:val="0"/>
              <w:divBdr>
                <w:top w:val="none" w:sz="0" w:space="0" w:color="auto"/>
                <w:left w:val="none" w:sz="0" w:space="0" w:color="auto"/>
                <w:bottom w:val="none" w:sz="0" w:space="0" w:color="auto"/>
                <w:right w:val="none" w:sz="0" w:space="0" w:color="auto"/>
              </w:divBdr>
            </w:div>
            <w:div w:id="1356542062">
              <w:marLeft w:val="0"/>
              <w:marRight w:val="0"/>
              <w:marTop w:val="0"/>
              <w:marBottom w:val="0"/>
              <w:divBdr>
                <w:top w:val="none" w:sz="0" w:space="0" w:color="auto"/>
                <w:left w:val="none" w:sz="0" w:space="0" w:color="auto"/>
                <w:bottom w:val="none" w:sz="0" w:space="0" w:color="auto"/>
                <w:right w:val="none" w:sz="0" w:space="0" w:color="auto"/>
              </w:divBdr>
            </w:div>
            <w:div w:id="1362973844">
              <w:marLeft w:val="0"/>
              <w:marRight w:val="0"/>
              <w:marTop w:val="0"/>
              <w:marBottom w:val="0"/>
              <w:divBdr>
                <w:top w:val="none" w:sz="0" w:space="0" w:color="auto"/>
                <w:left w:val="none" w:sz="0" w:space="0" w:color="auto"/>
                <w:bottom w:val="none" w:sz="0" w:space="0" w:color="auto"/>
                <w:right w:val="none" w:sz="0" w:space="0" w:color="auto"/>
              </w:divBdr>
            </w:div>
            <w:div w:id="1396204293">
              <w:marLeft w:val="0"/>
              <w:marRight w:val="0"/>
              <w:marTop w:val="0"/>
              <w:marBottom w:val="0"/>
              <w:divBdr>
                <w:top w:val="none" w:sz="0" w:space="0" w:color="auto"/>
                <w:left w:val="none" w:sz="0" w:space="0" w:color="auto"/>
                <w:bottom w:val="none" w:sz="0" w:space="0" w:color="auto"/>
                <w:right w:val="none" w:sz="0" w:space="0" w:color="auto"/>
              </w:divBdr>
            </w:div>
            <w:div w:id="1466701021">
              <w:marLeft w:val="0"/>
              <w:marRight w:val="0"/>
              <w:marTop w:val="0"/>
              <w:marBottom w:val="0"/>
              <w:divBdr>
                <w:top w:val="none" w:sz="0" w:space="0" w:color="auto"/>
                <w:left w:val="none" w:sz="0" w:space="0" w:color="auto"/>
                <w:bottom w:val="none" w:sz="0" w:space="0" w:color="auto"/>
                <w:right w:val="none" w:sz="0" w:space="0" w:color="auto"/>
              </w:divBdr>
            </w:div>
            <w:div w:id="1532256503">
              <w:marLeft w:val="0"/>
              <w:marRight w:val="0"/>
              <w:marTop w:val="0"/>
              <w:marBottom w:val="0"/>
              <w:divBdr>
                <w:top w:val="none" w:sz="0" w:space="0" w:color="auto"/>
                <w:left w:val="none" w:sz="0" w:space="0" w:color="auto"/>
                <w:bottom w:val="none" w:sz="0" w:space="0" w:color="auto"/>
                <w:right w:val="none" w:sz="0" w:space="0" w:color="auto"/>
              </w:divBdr>
            </w:div>
            <w:div w:id="1550874126">
              <w:marLeft w:val="0"/>
              <w:marRight w:val="0"/>
              <w:marTop w:val="0"/>
              <w:marBottom w:val="0"/>
              <w:divBdr>
                <w:top w:val="none" w:sz="0" w:space="0" w:color="auto"/>
                <w:left w:val="none" w:sz="0" w:space="0" w:color="auto"/>
                <w:bottom w:val="none" w:sz="0" w:space="0" w:color="auto"/>
                <w:right w:val="none" w:sz="0" w:space="0" w:color="auto"/>
              </w:divBdr>
            </w:div>
            <w:div w:id="1684622396">
              <w:marLeft w:val="0"/>
              <w:marRight w:val="0"/>
              <w:marTop w:val="0"/>
              <w:marBottom w:val="0"/>
              <w:divBdr>
                <w:top w:val="none" w:sz="0" w:space="0" w:color="auto"/>
                <w:left w:val="none" w:sz="0" w:space="0" w:color="auto"/>
                <w:bottom w:val="none" w:sz="0" w:space="0" w:color="auto"/>
                <w:right w:val="none" w:sz="0" w:space="0" w:color="auto"/>
              </w:divBdr>
            </w:div>
            <w:div w:id="1723862601">
              <w:marLeft w:val="0"/>
              <w:marRight w:val="0"/>
              <w:marTop w:val="0"/>
              <w:marBottom w:val="0"/>
              <w:divBdr>
                <w:top w:val="none" w:sz="0" w:space="0" w:color="auto"/>
                <w:left w:val="none" w:sz="0" w:space="0" w:color="auto"/>
                <w:bottom w:val="none" w:sz="0" w:space="0" w:color="auto"/>
                <w:right w:val="none" w:sz="0" w:space="0" w:color="auto"/>
              </w:divBdr>
            </w:div>
            <w:div w:id="1753433038">
              <w:marLeft w:val="0"/>
              <w:marRight w:val="0"/>
              <w:marTop w:val="0"/>
              <w:marBottom w:val="0"/>
              <w:divBdr>
                <w:top w:val="none" w:sz="0" w:space="0" w:color="auto"/>
                <w:left w:val="none" w:sz="0" w:space="0" w:color="auto"/>
                <w:bottom w:val="none" w:sz="0" w:space="0" w:color="auto"/>
                <w:right w:val="none" w:sz="0" w:space="0" w:color="auto"/>
              </w:divBdr>
            </w:div>
            <w:div w:id="1767114795">
              <w:marLeft w:val="0"/>
              <w:marRight w:val="0"/>
              <w:marTop w:val="0"/>
              <w:marBottom w:val="0"/>
              <w:divBdr>
                <w:top w:val="none" w:sz="0" w:space="0" w:color="auto"/>
                <w:left w:val="none" w:sz="0" w:space="0" w:color="auto"/>
                <w:bottom w:val="none" w:sz="0" w:space="0" w:color="auto"/>
                <w:right w:val="none" w:sz="0" w:space="0" w:color="auto"/>
              </w:divBdr>
            </w:div>
            <w:div w:id="1950893966">
              <w:marLeft w:val="0"/>
              <w:marRight w:val="0"/>
              <w:marTop w:val="0"/>
              <w:marBottom w:val="0"/>
              <w:divBdr>
                <w:top w:val="none" w:sz="0" w:space="0" w:color="auto"/>
                <w:left w:val="none" w:sz="0" w:space="0" w:color="auto"/>
                <w:bottom w:val="none" w:sz="0" w:space="0" w:color="auto"/>
                <w:right w:val="none" w:sz="0" w:space="0" w:color="auto"/>
              </w:divBdr>
            </w:div>
            <w:div w:id="1956935203">
              <w:marLeft w:val="0"/>
              <w:marRight w:val="0"/>
              <w:marTop w:val="0"/>
              <w:marBottom w:val="0"/>
              <w:divBdr>
                <w:top w:val="none" w:sz="0" w:space="0" w:color="auto"/>
                <w:left w:val="none" w:sz="0" w:space="0" w:color="auto"/>
                <w:bottom w:val="none" w:sz="0" w:space="0" w:color="auto"/>
                <w:right w:val="none" w:sz="0" w:space="0" w:color="auto"/>
              </w:divBdr>
            </w:div>
            <w:div w:id="2001495888">
              <w:marLeft w:val="0"/>
              <w:marRight w:val="0"/>
              <w:marTop w:val="0"/>
              <w:marBottom w:val="0"/>
              <w:divBdr>
                <w:top w:val="none" w:sz="0" w:space="0" w:color="auto"/>
                <w:left w:val="none" w:sz="0" w:space="0" w:color="auto"/>
                <w:bottom w:val="none" w:sz="0" w:space="0" w:color="auto"/>
                <w:right w:val="none" w:sz="0" w:space="0" w:color="auto"/>
              </w:divBdr>
            </w:div>
            <w:div w:id="2023433898">
              <w:marLeft w:val="0"/>
              <w:marRight w:val="0"/>
              <w:marTop w:val="0"/>
              <w:marBottom w:val="0"/>
              <w:divBdr>
                <w:top w:val="none" w:sz="0" w:space="0" w:color="auto"/>
                <w:left w:val="none" w:sz="0" w:space="0" w:color="auto"/>
                <w:bottom w:val="none" w:sz="0" w:space="0" w:color="auto"/>
                <w:right w:val="none" w:sz="0" w:space="0" w:color="auto"/>
              </w:divBdr>
            </w:div>
            <w:div w:id="21375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povertylectures.com/ECON6470CaseStudyorLiteratureReview.pdf" TargetMode="External"/><Relationship Id="rId13" Type="http://schemas.openxmlformats.org/officeDocument/2006/relationships/hyperlink" Target="http://www.imf.org/en/Publications/WEO/Issues/2017/04/04/world-economic-outlook-april-2017" TargetMode="External"/><Relationship Id="rId18" Type="http://schemas.openxmlformats.org/officeDocument/2006/relationships/hyperlink" Target="http://www.economist.com/blogs/economist-explains/2017/04/economist-explains-9" TargetMode="External"/><Relationship Id="rId26" Type="http://schemas.openxmlformats.org/officeDocument/2006/relationships/hyperlink" Target="http://www.relooney.com/NS4053/00_NS4053_140.pdf" TargetMode="External"/><Relationship Id="rId3" Type="http://schemas.openxmlformats.org/officeDocument/2006/relationships/settings" Target="settings.xml"/><Relationship Id="rId21" Type="http://schemas.openxmlformats.org/officeDocument/2006/relationships/hyperlink" Target="http://www.imf.org/external/pubs/ft/fandd/2011/09/berg.htm" TargetMode="External"/><Relationship Id="rId7" Type="http://schemas.openxmlformats.org/officeDocument/2006/relationships/hyperlink" Target="http://class.povertylectures.com/Dialogues_PPTPowerpointGuidelinesforVC.pdf" TargetMode="External"/><Relationship Id="rId12" Type="http://schemas.openxmlformats.org/officeDocument/2006/relationships/hyperlink" Target="http://www.imf.org/external/np/blog/dialogo/091516.pdf" TargetMode="External"/><Relationship Id="rId17" Type="http://schemas.openxmlformats.org/officeDocument/2006/relationships/hyperlink" Target="http://www.imf.org/en/Publications/WEO/Issues/2017/04/04/world-economic-outlook-april-2017" TargetMode="External"/><Relationship Id="rId25" Type="http://schemas.openxmlformats.org/officeDocument/2006/relationships/hyperlink" Target="http://www.imf.org/external/pubs/ft/sdn/2011/sdn1108.pdf" TargetMode="External"/><Relationship Id="rId2" Type="http://schemas.openxmlformats.org/officeDocument/2006/relationships/styles" Target="styles.xml"/><Relationship Id="rId16" Type="http://schemas.openxmlformats.org/officeDocument/2006/relationships/hyperlink" Target="http://www.rug.nl/ggdc/productivity/pwt/" TargetMode="External"/><Relationship Id="rId20" Type="http://schemas.openxmlformats.org/officeDocument/2006/relationships/hyperlink" Target="https://economics.mit.edu/files/12569"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pulse/business-case-womens-empowerment-christine-lagarde" TargetMode="External"/><Relationship Id="rId24" Type="http://schemas.openxmlformats.org/officeDocument/2006/relationships/hyperlink" Target="http://www.imf.org/external/pubs/ft/sdn/2011/sdn1108.pdf" TargetMode="External"/><Relationship Id="rId5" Type="http://schemas.openxmlformats.org/officeDocument/2006/relationships/footnotes" Target="footnotes.xml"/><Relationship Id="rId15" Type="http://schemas.openxmlformats.org/officeDocument/2006/relationships/hyperlink" Target="https://www.imf.org/en/Publications/WEO/Issues/2017/04/04/world-economic-outlook-april-2017" TargetMode="External"/><Relationship Id="rId23" Type="http://schemas.openxmlformats.org/officeDocument/2006/relationships/hyperlink" Target="https://pdfs.semanticscholar.org/d522/9d3c008969b4194656b77523864de97f06ed.pdf" TargetMode="External"/><Relationship Id="rId28" Type="http://schemas.openxmlformats.org/officeDocument/2006/relationships/hyperlink" Target="http://www.imf.org/en/Publications/WEO/Issues/2017/04/04/world-economic-outlook-april-2017" TargetMode="External"/><Relationship Id="rId10" Type="http://schemas.openxmlformats.org/officeDocument/2006/relationships/hyperlink" Target="http://www.imf.org/en/Publications/WEO/Issues/2017/04/04/world-economic-outlook-april-2017" TargetMode="External"/><Relationship Id="rId19" Type="http://schemas.openxmlformats.org/officeDocument/2006/relationships/hyperlink" Target="http://www.cvent.com/events/webcast-demonetization-digital-identity-and-universal-basic-income-how-big-ideas-are-changing-india-/event-summary-d16c4c1d0a64469b9c5cfb073af333de.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mf.org/en/Publications/WEO/Issues/2017/04/04/world-economic-outlook-april-2017" TargetMode="External"/><Relationship Id="rId14" Type="http://schemas.openxmlformats.org/officeDocument/2006/relationships/hyperlink" Target="http://www.imf.org/en/Publications/WEO/Issues/2017/04/04/world-economic-outlook-april-2017" TargetMode="External"/><Relationship Id="rId22" Type="http://schemas.openxmlformats.org/officeDocument/2006/relationships/hyperlink" Target="http://www.imf.org/external/pubs/ft/fandd/2011/09/berg.htm" TargetMode="External"/><Relationship Id="rId27" Type="http://schemas.openxmlformats.org/officeDocument/2006/relationships/image" Target="media/image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ECGA 6470</vt:lpstr>
    </vt:vector>
  </TitlesOfParts>
  <Company>Fordham University</Company>
  <LinksUpToDate>false</LinksUpToDate>
  <CharactersWithSpaces>9142</CharactersWithSpaces>
  <SharedDoc>false</SharedDoc>
  <HLinks>
    <vt:vector size="414" baseType="variant">
      <vt:variant>
        <vt:i4>3473508</vt:i4>
      </vt:variant>
      <vt:variant>
        <vt:i4>204</vt:i4>
      </vt:variant>
      <vt:variant>
        <vt:i4>0</vt:i4>
      </vt:variant>
      <vt:variant>
        <vt:i4>5</vt:i4>
      </vt:variant>
      <vt:variant>
        <vt:lpwstr>http://www.gdsnet.org/classes/AcemogluIntroModernGrowthChapter1.pdf</vt:lpwstr>
      </vt:variant>
      <vt:variant>
        <vt:lpwstr/>
      </vt:variant>
      <vt:variant>
        <vt:i4>2687090</vt:i4>
      </vt:variant>
      <vt:variant>
        <vt:i4>201</vt:i4>
      </vt:variant>
      <vt:variant>
        <vt:i4>0</vt:i4>
      </vt:variant>
      <vt:variant>
        <vt:i4>5</vt:i4>
      </vt:variant>
      <vt:variant>
        <vt:lpwstr>http://www.imf.org/external/pubs/ft/fandd/2003/06/index.htm</vt:lpwstr>
      </vt:variant>
      <vt:variant>
        <vt:lpwstr/>
      </vt:variant>
      <vt:variant>
        <vt:i4>2687090</vt:i4>
      </vt:variant>
      <vt:variant>
        <vt:i4>198</vt:i4>
      </vt:variant>
      <vt:variant>
        <vt:i4>0</vt:i4>
      </vt:variant>
      <vt:variant>
        <vt:i4>5</vt:i4>
      </vt:variant>
      <vt:variant>
        <vt:lpwstr>http://www.imf.org/external/pubs/ft/fandd/2003/06/index.htm</vt:lpwstr>
      </vt:variant>
      <vt:variant>
        <vt:lpwstr/>
      </vt:variant>
      <vt:variant>
        <vt:i4>2687090</vt:i4>
      </vt:variant>
      <vt:variant>
        <vt:i4>195</vt:i4>
      </vt:variant>
      <vt:variant>
        <vt:i4>0</vt:i4>
      </vt:variant>
      <vt:variant>
        <vt:i4>5</vt:i4>
      </vt:variant>
      <vt:variant>
        <vt:lpwstr>http://www.imf.org/external/pubs/ft/fandd/2003/06/index.htm</vt:lpwstr>
      </vt:variant>
      <vt:variant>
        <vt:lpwstr/>
      </vt:variant>
      <vt:variant>
        <vt:i4>6226009</vt:i4>
      </vt:variant>
      <vt:variant>
        <vt:i4>192</vt:i4>
      </vt:variant>
      <vt:variant>
        <vt:i4>0</vt:i4>
      </vt:variant>
      <vt:variant>
        <vt:i4>5</vt:i4>
      </vt:variant>
      <vt:variant>
        <vt:lpwstr>http://web.mit.edu/sjohnson/www/attach/unbundlingfinal August 4 2003.pdf</vt:lpwstr>
      </vt:variant>
      <vt:variant>
        <vt:lpwstr/>
      </vt:variant>
      <vt:variant>
        <vt:i4>4587605</vt:i4>
      </vt:variant>
      <vt:variant>
        <vt:i4>189</vt:i4>
      </vt:variant>
      <vt:variant>
        <vt:i4>0</vt:i4>
      </vt:variant>
      <vt:variant>
        <vt:i4>5</vt:i4>
      </vt:variant>
      <vt:variant>
        <vt:lpwstr>I:\Seagate Backup\DLM-SONATA\C\Documents and Settings\dlm\Desktop\Classes\GrowthCourseSp2010\Acemoglu_InstCauseGrowth.pdf</vt:lpwstr>
      </vt:variant>
      <vt:variant>
        <vt:lpwstr/>
      </vt:variant>
      <vt:variant>
        <vt:i4>65578</vt:i4>
      </vt:variant>
      <vt:variant>
        <vt:i4>186</vt:i4>
      </vt:variant>
      <vt:variant>
        <vt:i4>0</vt:i4>
      </vt:variant>
      <vt:variant>
        <vt:i4>5</vt:i4>
      </vt:variant>
      <vt:variant>
        <vt:lpwstr>I:\Seagate Backup\DLM-SONATA\C\Documents and Settings\dlm\Desktop\Classes\GrowthCourseSp2010\AcemgluJohnsonRobinson2001.pdf</vt:lpwstr>
      </vt:variant>
      <vt:variant>
        <vt:lpwstr/>
      </vt:variant>
      <vt:variant>
        <vt:i4>4587529</vt:i4>
      </vt:variant>
      <vt:variant>
        <vt:i4>183</vt:i4>
      </vt:variant>
      <vt:variant>
        <vt:i4>0</vt:i4>
      </vt:variant>
      <vt:variant>
        <vt:i4>5</vt:i4>
      </vt:variant>
      <vt:variant>
        <vt:lpwstr>http://ksghome.harvard.edu/~.drodrik.academic.ksg/ifo-institutions article _April 2004_.pdf</vt:lpwstr>
      </vt:variant>
      <vt:variant>
        <vt:lpwstr/>
      </vt:variant>
      <vt:variant>
        <vt:i4>720964</vt:i4>
      </vt:variant>
      <vt:variant>
        <vt:i4>180</vt:i4>
      </vt:variant>
      <vt:variant>
        <vt:i4>0</vt:i4>
      </vt:variant>
      <vt:variant>
        <vt:i4>5</vt:i4>
      </vt:variant>
      <vt:variant>
        <vt:lpwstr>http://www.imf.org/external/pubs/ft/weo/2003/01/pdf/chapter3.pdf</vt:lpwstr>
      </vt:variant>
      <vt:variant>
        <vt:lpwstr/>
      </vt:variant>
      <vt:variant>
        <vt:i4>7864423</vt:i4>
      </vt:variant>
      <vt:variant>
        <vt:i4>177</vt:i4>
      </vt:variant>
      <vt:variant>
        <vt:i4>0</vt:i4>
      </vt:variant>
      <vt:variant>
        <vt:i4>5</vt:i4>
      </vt:variant>
      <vt:variant>
        <vt:lpwstr>I:\Seagate Backup\DLM-SONATA\C\Documents and Settings\dlm\Desktop\Classes\GrowthCourseSp2010\Glaeseretal_NBER0568.pdf</vt:lpwstr>
      </vt:variant>
      <vt:variant>
        <vt:lpwstr/>
      </vt:variant>
      <vt:variant>
        <vt:i4>2883703</vt:i4>
      </vt:variant>
      <vt:variant>
        <vt:i4>174</vt:i4>
      </vt:variant>
      <vt:variant>
        <vt:i4>0</vt:i4>
      </vt:variant>
      <vt:variant>
        <vt:i4>5</vt:i4>
      </vt:variant>
      <vt:variant>
        <vt:lpwstr>http://www.imf.org/external/pubs/ft/fandd/2006/03/index.htm</vt:lpwstr>
      </vt:variant>
      <vt:variant>
        <vt:lpwstr/>
      </vt:variant>
      <vt:variant>
        <vt:i4>1572919</vt:i4>
      </vt:variant>
      <vt:variant>
        <vt:i4>171</vt:i4>
      </vt:variant>
      <vt:variant>
        <vt:i4>0</vt:i4>
      </vt:variant>
      <vt:variant>
        <vt:i4>5</vt:i4>
      </vt:variant>
      <vt:variant>
        <vt:lpwstr>I:\Seagate Backup\DLM-SONATA\C\Documents and Settings\dlm\Desktop\Classes\GrowthCourseSp2010\RajanZingales1996DoInsitutions.pdf</vt:lpwstr>
      </vt:variant>
      <vt:variant>
        <vt:lpwstr/>
      </vt:variant>
      <vt:variant>
        <vt:i4>5046339</vt:i4>
      </vt:variant>
      <vt:variant>
        <vt:i4>168</vt:i4>
      </vt:variant>
      <vt:variant>
        <vt:i4>0</vt:i4>
      </vt:variant>
      <vt:variant>
        <vt:i4>5</vt:i4>
      </vt:variant>
      <vt:variant>
        <vt:lpwstr>I:\Seagate Backup\DLM-SONATA\C\Documents and Settings\dlm\Desktop\Classes\GrowthCourseSp2010\Rajan_Zingales2006-w12093.pdf</vt:lpwstr>
      </vt:variant>
      <vt:variant>
        <vt:lpwstr/>
      </vt:variant>
      <vt:variant>
        <vt:i4>1114142</vt:i4>
      </vt:variant>
      <vt:variant>
        <vt:i4>165</vt:i4>
      </vt:variant>
      <vt:variant>
        <vt:i4>0</vt:i4>
      </vt:variant>
      <vt:variant>
        <vt:i4>5</vt:i4>
      </vt:variant>
      <vt:variant>
        <vt:lpwstr>http://www.gdsnet.org/classes/DixitRecipesforSuccess.pdf</vt:lpwstr>
      </vt:variant>
      <vt:variant>
        <vt:lpwstr/>
      </vt:variant>
      <vt:variant>
        <vt:i4>6357066</vt:i4>
      </vt:variant>
      <vt:variant>
        <vt:i4>162</vt:i4>
      </vt:variant>
      <vt:variant>
        <vt:i4>0</vt:i4>
      </vt:variant>
      <vt:variant>
        <vt:i4>5</vt:i4>
      </vt:variant>
      <vt:variant>
        <vt:lpwstr>I:\Seagate Backup\DLM-SONATA\C\Documents and Settings\dlm\Desktop\Classes\GrowthCourseSp2010\GrowthStrategies.pdf</vt:lpwstr>
      </vt:variant>
      <vt:variant>
        <vt:lpwstr/>
      </vt:variant>
      <vt:variant>
        <vt:i4>3211374</vt:i4>
      </vt:variant>
      <vt:variant>
        <vt:i4>159</vt:i4>
      </vt:variant>
      <vt:variant>
        <vt:i4>0</vt:i4>
      </vt:variant>
      <vt:variant>
        <vt:i4>5</vt:i4>
      </vt:variant>
      <vt:variant>
        <vt:lpwstr>http://ksghome.harvard.edu/~drodrik/Second-best institutions paper.pdf</vt:lpwstr>
      </vt:variant>
      <vt:variant>
        <vt:lpwstr/>
      </vt:variant>
      <vt:variant>
        <vt:i4>3604532</vt:i4>
      </vt:variant>
      <vt:variant>
        <vt:i4>156</vt:i4>
      </vt:variant>
      <vt:variant>
        <vt:i4>0</vt:i4>
      </vt:variant>
      <vt:variant>
        <vt:i4>5</vt:i4>
      </vt:variant>
      <vt:variant>
        <vt:lpwstr>http://www.gdsnet.org/classes/UnderstandingProsperityandPoverty.pdf</vt:lpwstr>
      </vt:variant>
      <vt:variant>
        <vt:lpwstr/>
      </vt:variant>
      <vt:variant>
        <vt:i4>6488169</vt:i4>
      </vt:variant>
      <vt:variant>
        <vt:i4>153</vt:i4>
      </vt:variant>
      <vt:variant>
        <vt:i4>0</vt:i4>
      </vt:variant>
      <vt:variant>
        <vt:i4>5</vt:i4>
      </vt:variant>
      <vt:variant>
        <vt:lpwstr>http://www.gdsnet.org/classes/JonesChapter3_Exc1_p75b.xls</vt:lpwstr>
      </vt:variant>
      <vt:variant>
        <vt:lpwstr/>
      </vt:variant>
      <vt:variant>
        <vt:i4>4522077</vt:i4>
      </vt:variant>
      <vt:variant>
        <vt:i4>150</vt:i4>
      </vt:variant>
      <vt:variant>
        <vt:i4>0</vt:i4>
      </vt:variant>
      <vt:variant>
        <vt:i4>5</vt:i4>
      </vt:variant>
      <vt:variant>
        <vt:lpwstr>http://www.gdsnet.org/classes/AsiaGrowthRates.xls</vt:lpwstr>
      </vt:variant>
      <vt:variant>
        <vt:lpwstr/>
      </vt:variant>
      <vt:variant>
        <vt:i4>4456541</vt:i4>
      </vt:variant>
      <vt:variant>
        <vt:i4>147</vt:i4>
      </vt:variant>
      <vt:variant>
        <vt:i4>0</vt:i4>
      </vt:variant>
      <vt:variant>
        <vt:i4>5</vt:i4>
      </vt:variant>
      <vt:variant>
        <vt:lpwstr>http://web.worldbank.org/WBSITE/EXTERNAL/COUNTRIES/LACEXT/EXTLACOFFICEOFCE/0,,contentMDK:20819439~pagePK:64168445~piPK:64168309~theSitePK:870893,00.html</vt:lpwstr>
      </vt:variant>
      <vt:variant>
        <vt:lpwstr/>
      </vt:variant>
      <vt:variant>
        <vt:i4>2359415</vt:i4>
      </vt:variant>
      <vt:variant>
        <vt:i4>144</vt:i4>
      </vt:variant>
      <vt:variant>
        <vt:i4>0</vt:i4>
      </vt:variant>
      <vt:variant>
        <vt:i4>5</vt:i4>
      </vt:variant>
      <vt:variant>
        <vt:lpwstr>http://www.gdnet.org/middle.php?oid=620</vt:lpwstr>
      </vt:variant>
      <vt:variant>
        <vt:lpwstr/>
      </vt:variant>
      <vt:variant>
        <vt:i4>6815747</vt:i4>
      </vt:variant>
      <vt:variant>
        <vt:i4>141</vt:i4>
      </vt:variant>
      <vt:variant>
        <vt:i4>0</vt:i4>
      </vt:variant>
      <vt:variant>
        <vt:i4>5</vt:i4>
      </vt:variant>
      <vt:variant>
        <vt:lpwstr>http://www.bcentral.cl/conferencias-seminarios/conferencias-anuales/2001/pdf/carkovic_levine2001.pdf</vt:lpwstr>
      </vt:variant>
      <vt:variant>
        <vt:lpwstr/>
      </vt:variant>
      <vt:variant>
        <vt:i4>5374034</vt:i4>
      </vt:variant>
      <vt:variant>
        <vt:i4>138</vt:i4>
      </vt:variant>
      <vt:variant>
        <vt:i4>0</vt:i4>
      </vt:variant>
      <vt:variant>
        <vt:i4>5</vt:i4>
      </vt:variant>
      <vt:variant>
        <vt:lpwstr>http://www.fordham.edu/economics/mcleod/CarrollWeilSavingsGrowth1994Part1.pdf</vt:lpwstr>
      </vt:variant>
      <vt:variant>
        <vt:lpwstr/>
      </vt:variant>
      <vt:variant>
        <vt:i4>4259863</vt:i4>
      </vt:variant>
      <vt:variant>
        <vt:i4>135</vt:i4>
      </vt:variant>
      <vt:variant>
        <vt:i4>0</vt:i4>
      </vt:variant>
      <vt:variant>
        <vt:i4>5</vt:i4>
      </vt:variant>
      <vt:variant>
        <vt:lpwstr>http://www.fordham.edu/economics/mcleod/StigllitzRethinkingTEAMChapter13.pdf</vt:lpwstr>
      </vt:variant>
      <vt:variant>
        <vt:lpwstr/>
      </vt:variant>
      <vt:variant>
        <vt:i4>786441</vt:i4>
      </vt:variant>
      <vt:variant>
        <vt:i4>132</vt:i4>
      </vt:variant>
      <vt:variant>
        <vt:i4>0</vt:i4>
      </vt:variant>
      <vt:variant>
        <vt:i4>5</vt:i4>
      </vt:variant>
      <vt:variant>
        <vt:lpwstr>http://ideas.repec.org/p/wbk/wbrwps/2341.html</vt:lpwstr>
      </vt:variant>
      <vt:variant>
        <vt:lpwstr/>
      </vt:variant>
      <vt:variant>
        <vt:i4>4063359</vt:i4>
      </vt:variant>
      <vt:variant>
        <vt:i4>129</vt:i4>
      </vt:variant>
      <vt:variant>
        <vt:i4>0</vt:i4>
      </vt:variant>
      <vt:variant>
        <vt:i4>5</vt:i4>
      </vt:variant>
      <vt:variant>
        <vt:lpwstr>http://www.nyu.edu/fas/institute/dri/Easterly/File/its not factor accumulation.pdf</vt:lpwstr>
      </vt:variant>
      <vt:variant>
        <vt:lpwstr/>
      </vt:variant>
      <vt:variant>
        <vt:i4>5963848</vt:i4>
      </vt:variant>
      <vt:variant>
        <vt:i4>126</vt:i4>
      </vt:variant>
      <vt:variant>
        <vt:i4>0</vt:i4>
      </vt:variant>
      <vt:variant>
        <vt:i4>5</vt:i4>
      </vt:variant>
      <vt:variant>
        <vt:lpwstr>http://www.gdsnet.org/classes/BosworthCollins2003.pdf</vt:lpwstr>
      </vt:variant>
      <vt:variant>
        <vt:lpwstr/>
      </vt:variant>
      <vt:variant>
        <vt:i4>6684771</vt:i4>
      </vt:variant>
      <vt:variant>
        <vt:i4>123</vt:i4>
      </vt:variant>
      <vt:variant>
        <vt:i4>0</vt:i4>
      </vt:variant>
      <vt:variant>
        <vt:i4>5</vt:i4>
      </vt:variant>
      <vt:variant>
        <vt:lpwstr>http://www.imf.org/external/pubs/ft/weo/2009/02/weodata/index.aspx</vt:lpwstr>
      </vt:variant>
      <vt:variant>
        <vt:lpwstr/>
      </vt:variant>
      <vt:variant>
        <vt:i4>4522077</vt:i4>
      </vt:variant>
      <vt:variant>
        <vt:i4>120</vt:i4>
      </vt:variant>
      <vt:variant>
        <vt:i4>0</vt:i4>
      </vt:variant>
      <vt:variant>
        <vt:i4>5</vt:i4>
      </vt:variant>
      <vt:variant>
        <vt:lpwstr>http://www.gdsnet.org/classes/AsiaGrowthRates.xls</vt:lpwstr>
      </vt:variant>
      <vt:variant>
        <vt:lpwstr/>
      </vt:variant>
      <vt:variant>
        <vt:i4>6488169</vt:i4>
      </vt:variant>
      <vt:variant>
        <vt:i4>117</vt:i4>
      </vt:variant>
      <vt:variant>
        <vt:i4>0</vt:i4>
      </vt:variant>
      <vt:variant>
        <vt:i4>5</vt:i4>
      </vt:variant>
      <vt:variant>
        <vt:lpwstr>http://www.gdsnet.org/classes/JonesChapter3_Exc1_p75b.xls</vt:lpwstr>
      </vt:variant>
      <vt:variant>
        <vt:lpwstr/>
      </vt:variant>
      <vt:variant>
        <vt:i4>3145846</vt:i4>
      </vt:variant>
      <vt:variant>
        <vt:i4>114</vt:i4>
      </vt:variant>
      <vt:variant>
        <vt:i4>0</vt:i4>
      </vt:variant>
      <vt:variant>
        <vt:i4>5</vt:i4>
      </vt:variant>
      <vt:variant>
        <vt:lpwstr>http://www.fordham.edu/economics/mcleod/AfricasPovertyTrapSachsetal2004.pdf</vt:lpwstr>
      </vt:variant>
      <vt:variant>
        <vt:lpwstr/>
      </vt:variant>
      <vt:variant>
        <vt:i4>7274536</vt:i4>
      </vt:variant>
      <vt:variant>
        <vt:i4>111</vt:i4>
      </vt:variant>
      <vt:variant>
        <vt:i4>0</vt:i4>
      </vt:variant>
      <vt:variant>
        <vt:i4>5</vt:i4>
      </vt:variant>
      <vt:variant>
        <vt:lpwstr>http://ksghome.harvard.edu/~drodrik/industrial development.pdf</vt:lpwstr>
      </vt:variant>
      <vt:variant>
        <vt:lpwstr/>
      </vt:variant>
      <vt:variant>
        <vt:i4>2687090</vt:i4>
      </vt:variant>
      <vt:variant>
        <vt:i4>108</vt:i4>
      </vt:variant>
      <vt:variant>
        <vt:i4>0</vt:i4>
      </vt:variant>
      <vt:variant>
        <vt:i4>5</vt:i4>
      </vt:variant>
      <vt:variant>
        <vt:lpwstr>http://www.imf.org/external/pubs/ft/fandd/2003/06/index.htm</vt:lpwstr>
      </vt:variant>
      <vt:variant>
        <vt:lpwstr/>
      </vt:variant>
      <vt:variant>
        <vt:i4>1376330</vt:i4>
      </vt:variant>
      <vt:variant>
        <vt:i4>105</vt:i4>
      </vt:variant>
      <vt:variant>
        <vt:i4>0</vt:i4>
      </vt:variant>
      <vt:variant>
        <vt:i4>5</vt:i4>
      </vt:variant>
      <vt:variant>
        <vt:lpwstr>http://ipl.econ.duke.edu/bread/abstracts/108.htm</vt:lpwstr>
      </vt:variant>
      <vt:variant>
        <vt:lpwstr/>
      </vt:variant>
      <vt:variant>
        <vt:i4>2883703</vt:i4>
      </vt:variant>
      <vt:variant>
        <vt:i4>102</vt:i4>
      </vt:variant>
      <vt:variant>
        <vt:i4>0</vt:i4>
      </vt:variant>
      <vt:variant>
        <vt:i4>5</vt:i4>
      </vt:variant>
      <vt:variant>
        <vt:lpwstr>http://www.imf.org/external/pubs/ft/fandd/2006/03/index.htm</vt:lpwstr>
      </vt:variant>
      <vt:variant>
        <vt:lpwstr/>
      </vt:variant>
      <vt:variant>
        <vt:i4>7143525</vt:i4>
      </vt:variant>
      <vt:variant>
        <vt:i4>99</vt:i4>
      </vt:variant>
      <vt:variant>
        <vt:i4>0</vt:i4>
      </vt:variant>
      <vt:variant>
        <vt:i4>5</vt:i4>
      </vt:variant>
      <vt:variant>
        <vt:lpwstr>http://www.gdsnet.org/classes/GrowthStrategies.pdf</vt:lpwstr>
      </vt:variant>
      <vt:variant>
        <vt:lpwstr/>
      </vt:variant>
      <vt:variant>
        <vt:i4>3211374</vt:i4>
      </vt:variant>
      <vt:variant>
        <vt:i4>96</vt:i4>
      </vt:variant>
      <vt:variant>
        <vt:i4>0</vt:i4>
      </vt:variant>
      <vt:variant>
        <vt:i4>5</vt:i4>
      </vt:variant>
      <vt:variant>
        <vt:lpwstr>http://ksghome.harvard.edu/~drodrik/Second-best institutions paper.pdf</vt:lpwstr>
      </vt:variant>
      <vt:variant>
        <vt:lpwstr/>
      </vt:variant>
      <vt:variant>
        <vt:i4>3801203</vt:i4>
      </vt:variant>
      <vt:variant>
        <vt:i4>93</vt:i4>
      </vt:variant>
      <vt:variant>
        <vt:i4>0</vt:i4>
      </vt:variant>
      <vt:variant>
        <vt:i4>5</vt:i4>
      </vt:variant>
      <vt:variant>
        <vt:lpwstr>http://www.gdsnet.org/classes/Rodriguez&amp;RodrikSkepticsView.pdf</vt:lpwstr>
      </vt:variant>
      <vt:variant>
        <vt:lpwstr/>
      </vt:variant>
      <vt:variant>
        <vt:i4>7864358</vt:i4>
      </vt:variant>
      <vt:variant>
        <vt:i4>90</vt:i4>
      </vt:variant>
      <vt:variant>
        <vt:i4>0</vt:i4>
      </vt:variant>
      <vt:variant>
        <vt:i4>5</vt:i4>
      </vt:variant>
      <vt:variant>
        <vt:lpwstr>http://idbdocs.iadb.org/wsdocs/getdocument.aspx?docnum=1802678</vt:lpwstr>
      </vt:variant>
      <vt:variant>
        <vt:lpwstr/>
      </vt:variant>
      <vt:variant>
        <vt:i4>5242951</vt:i4>
      </vt:variant>
      <vt:variant>
        <vt:i4>87</vt:i4>
      </vt:variant>
      <vt:variant>
        <vt:i4>0</vt:i4>
      </vt:variant>
      <vt:variant>
        <vt:i4>5</vt:i4>
      </vt:variant>
      <vt:variant>
        <vt:lpwstr>http://www.gdsnet.org/classes/DollarKraayTradeGrowthPovertyEJ2004.pdf</vt:lpwstr>
      </vt:variant>
      <vt:variant>
        <vt:lpwstr/>
      </vt:variant>
      <vt:variant>
        <vt:i4>6946831</vt:i4>
      </vt:variant>
      <vt:variant>
        <vt:i4>84</vt:i4>
      </vt:variant>
      <vt:variant>
        <vt:i4>0</vt:i4>
      </vt:variant>
      <vt:variant>
        <vt:i4>5</vt:i4>
      </vt:variant>
      <vt:variant>
        <vt:lpwstr>http://www.gdsnet.org/classes/Frenkel_RomerTradeCauseGrowth2.pdf</vt:lpwstr>
      </vt:variant>
      <vt:variant>
        <vt:lpwstr/>
      </vt:variant>
      <vt:variant>
        <vt:i4>2687080</vt:i4>
      </vt:variant>
      <vt:variant>
        <vt:i4>81</vt:i4>
      </vt:variant>
      <vt:variant>
        <vt:i4>0</vt:i4>
      </vt:variant>
      <vt:variant>
        <vt:i4>5</vt:i4>
      </vt:variant>
      <vt:variant>
        <vt:lpwstr>http://www.gdsnet.org/classes/OpennessSachsWarnerWelch-Wacziarg2003.pdf</vt:lpwstr>
      </vt:variant>
      <vt:variant>
        <vt:lpwstr/>
      </vt:variant>
      <vt:variant>
        <vt:i4>3932223</vt:i4>
      </vt:variant>
      <vt:variant>
        <vt:i4>78</vt:i4>
      </vt:variant>
      <vt:variant>
        <vt:i4>0</vt:i4>
      </vt:variant>
      <vt:variant>
        <vt:i4>5</vt:i4>
      </vt:variant>
      <vt:variant>
        <vt:lpwstr>http://www.cgdev.org/content/publications/detail/2757/</vt:lpwstr>
      </vt:variant>
      <vt:variant>
        <vt:lpwstr/>
      </vt:variant>
      <vt:variant>
        <vt:i4>1048668</vt:i4>
      </vt:variant>
      <vt:variant>
        <vt:i4>75</vt:i4>
      </vt:variant>
      <vt:variant>
        <vt:i4>0</vt:i4>
      </vt:variant>
      <vt:variant>
        <vt:i4>5</vt:i4>
      </vt:variant>
      <vt:variant>
        <vt:lpwstr>http://www.gdsnet.org/classes/Sali-i-Martin-TwoMillionAER1997.pdf</vt:lpwstr>
      </vt:variant>
      <vt:variant>
        <vt:lpwstr/>
      </vt:variant>
      <vt:variant>
        <vt:i4>3473469</vt:i4>
      </vt:variant>
      <vt:variant>
        <vt:i4>72</vt:i4>
      </vt:variant>
      <vt:variant>
        <vt:i4>0</vt:i4>
      </vt:variant>
      <vt:variant>
        <vt:i4>5</vt:i4>
      </vt:variant>
      <vt:variant>
        <vt:lpwstr>http://www.fordham.edu/economics/mcleod/Levine and Renelt 1992.pdf</vt:lpwstr>
      </vt:variant>
      <vt:variant>
        <vt:lpwstr/>
      </vt:variant>
      <vt:variant>
        <vt:i4>6619204</vt:i4>
      </vt:variant>
      <vt:variant>
        <vt:i4>69</vt:i4>
      </vt:variant>
      <vt:variant>
        <vt:i4>0</vt:i4>
      </vt:variant>
      <vt:variant>
        <vt:i4>5</vt:i4>
      </vt:variant>
      <vt:variant>
        <vt:lpwstr>http://www.gdsnet.org/classes/ECGA6470_GrowthOpenEconomies.pdf</vt:lpwstr>
      </vt:variant>
      <vt:variant>
        <vt:lpwstr/>
      </vt:variant>
      <vt:variant>
        <vt:i4>7012402</vt:i4>
      </vt:variant>
      <vt:variant>
        <vt:i4>66</vt:i4>
      </vt:variant>
      <vt:variant>
        <vt:i4>0</vt:i4>
      </vt:variant>
      <vt:variant>
        <vt:i4>5</vt:i4>
      </vt:variant>
      <vt:variant>
        <vt:lpwstr>http://www.fordham.edu/economics/mcleod/SachsGallupGeographyGrowth.pdf</vt:lpwstr>
      </vt:variant>
      <vt:variant>
        <vt:lpwstr/>
      </vt:variant>
      <vt:variant>
        <vt:i4>6488163</vt:i4>
      </vt:variant>
      <vt:variant>
        <vt:i4>63</vt:i4>
      </vt:variant>
      <vt:variant>
        <vt:i4>0</vt:i4>
      </vt:variant>
      <vt:variant>
        <vt:i4>5</vt:i4>
      </vt:variant>
      <vt:variant>
        <vt:lpwstr>http://ksghome.harvard.edu/~drodrik/skepti1299.pdf</vt:lpwstr>
      </vt:variant>
      <vt:variant>
        <vt:lpwstr/>
      </vt:variant>
      <vt:variant>
        <vt:i4>5767235</vt:i4>
      </vt:variant>
      <vt:variant>
        <vt:i4>60</vt:i4>
      </vt:variant>
      <vt:variant>
        <vt:i4>0</vt:i4>
      </vt:variant>
      <vt:variant>
        <vt:i4>5</vt:i4>
      </vt:variant>
      <vt:variant>
        <vt:lpwstr>http://www.gdsnet.org/classes/AfricasPovertyTrapSachsetal2004.pdf</vt:lpwstr>
      </vt:variant>
      <vt:variant>
        <vt:lpwstr/>
      </vt:variant>
      <vt:variant>
        <vt:i4>131119</vt:i4>
      </vt:variant>
      <vt:variant>
        <vt:i4>57</vt:i4>
      </vt:variant>
      <vt:variant>
        <vt:i4>0</vt:i4>
      </vt:variant>
      <vt:variant>
        <vt:i4>5</vt:i4>
      </vt:variant>
      <vt:variant>
        <vt:lpwstr>http://www.gdsnet.org/classes/Rajan_Zingales2006-w12093.pdf</vt:lpwstr>
      </vt:variant>
      <vt:variant>
        <vt:lpwstr/>
      </vt:variant>
      <vt:variant>
        <vt:i4>131119</vt:i4>
      </vt:variant>
      <vt:variant>
        <vt:i4>54</vt:i4>
      </vt:variant>
      <vt:variant>
        <vt:i4>0</vt:i4>
      </vt:variant>
      <vt:variant>
        <vt:i4>5</vt:i4>
      </vt:variant>
      <vt:variant>
        <vt:lpwstr>http://www.gdsnet.org/classes/Rajan_Zingales2006-w12093.pdf</vt:lpwstr>
      </vt:variant>
      <vt:variant>
        <vt:lpwstr/>
      </vt:variant>
      <vt:variant>
        <vt:i4>2621513</vt:i4>
      </vt:variant>
      <vt:variant>
        <vt:i4>51</vt:i4>
      </vt:variant>
      <vt:variant>
        <vt:i4>0</vt:i4>
      </vt:variant>
      <vt:variant>
        <vt:i4>5</vt:i4>
      </vt:variant>
      <vt:variant>
        <vt:lpwstr>http://www.fordham.edu/economics/mcleod/Glaeseretal_NBER0568.pdf</vt:lpwstr>
      </vt:variant>
      <vt:variant>
        <vt:lpwstr/>
      </vt:variant>
      <vt:variant>
        <vt:i4>2883703</vt:i4>
      </vt:variant>
      <vt:variant>
        <vt:i4>48</vt:i4>
      </vt:variant>
      <vt:variant>
        <vt:i4>0</vt:i4>
      </vt:variant>
      <vt:variant>
        <vt:i4>5</vt:i4>
      </vt:variant>
      <vt:variant>
        <vt:lpwstr>http://www.imf.org/external/pubs/ft/fandd/2006/03/index.htm</vt:lpwstr>
      </vt:variant>
      <vt:variant>
        <vt:lpwstr/>
      </vt:variant>
      <vt:variant>
        <vt:i4>5374019</vt:i4>
      </vt:variant>
      <vt:variant>
        <vt:i4>45</vt:i4>
      </vt:variant>
      <vt:variant>
        <vt:i4>0</vt:i4>
      </vt:variant>
      <vt:variant>
        <vt:i4>5</vt:i4>
      </vt:variant>
      <vt:variant>
        <vt:lpwstr>http://www.focal.ca/pdf/haiticollier.pdf</vt:lpwstr>
      </vt:variant>
      <vt:variant>
        <vt:lpwstr/>
      </vt:variant>
      <vt:variant>
        <vt:i4>6488168</vt:i4>
      </vt:variant>
      <vt:variant>
        <vt:i4>42</vt:i4>
      </vt:variant>
      <vt:variant>
        <vt:i4>0</vt:i4>
      </vt:variant>
      <vt:variant>
        <vt:i4>5</vt:i4>
      </vt:variant>
      <vt:variant>
        <vt:lpwstr>http://www.gdsnet.org/classes/JonesChapter3_Exc1_p75c.xls</vt:lpwstr>
      </vt:variant>
      <vt:variant>
        <vt:lpwstr/>
      </vt:variant>
      <vt:variant>
        <vt:i4>3473504</vt:i4>
      </vt:variant>
      <vt:variant>
        <vt:i4>39</vt:i4>
      </vt:variant>
      <vt:variant>
        <vt:i4>0</vt:i4>
      </vt:variant>
      <vt:variant>
        <vt:i4>5</vt:i4>
      </vt:variant>
      <vt:variant>
        <vt:lpwstr>http://www.nytimes.com/2010/01/22/opinion/22danner.html</vt:lpwstr>
      </vt:variant>
      <vt:variant>
        <vt:lpwstr/>
      </vt:variant>
      <vt:variant>
        <vt:i4>7471170</vt:i4>
      </vt:variant>
      <vt:variant>
        <vt:i4>36</vt:i4>
      </vt:variant>
      <vt:variant>
        <vt:i4>0</vt:i4>
      </vt:variant>
      <vt:variant>
        <vt:i4>5</vt:i4>
      </vt:variant>
      <vt:variant>
        <vt:lpwstr>http://www.gdsnet.org/classes/Acemoglu_InstCauseGrowth.pdf</vt:lpwstr>
      </vt:variant>
      <vt:variant>
        <vt:lpwstr/>
      </vt:variant>
      <vt:variant>
        <vt:i4>2687090</vt:i4>
      </vt:variant>
      <vt:variant>
        <vt:i4>33</vt:i4>
      </vt:variant>
      <vt:variant>
        <vt:i4>0</vt:i4>
      </vt:variant>
      <vt:variant>
        <vt:i4>5</vt:i4>
      </vt:variant>
      <vt:variant>
        <vt:lpwstr>http://www.imf.org/external/pubs/ft/fandd/2003/06/index.htm</vt:lpwstr>
      </vt:variant>
      <vt:variant>
        <vt:lpwstr/>
      </vt:variant>
      <vt:variant>
        <vt:i4>4194379</vt:i4>
      </vt:variant>
      <vt:variant>
        <vt:i4>30</vt:i4>
      </vt:variant>
      <vt:variant>
        <vt:i4>0</vt:i4>
      </vt:variant>
      <vt:variant>
        <vt:i4>5</vt:i4>
      </vt:variant>
      <vt:variant>
        <vt:lpwstr>http://www.gdsnet.org/classes/HallandJonesQJE1999.pdf</vt:lpwstr>
      </vt:variant>
      <vt:variant>
        <vt:lpwstr/>
      </vt:variant>
      <vt:variant>
        <vt:i4>851973</vt:i4>
      </vt:variant>
      <vt:variant>
        <vt:i4>27</vt:i4>
      </vt:variant>
      <vt:variant>
        <vt:i4>0</vt:i4>
      </vt:variant>
      <vt:variant>
        <vt:i4>5</vt:i4>
      </vt:variant>
      <vt:variant>
        <vt:lpwstr>http://www.gdsnet.org/classes/AcemgluJohnsonRobinson2001.pdf</vt:lpwstr>
      </vt:variant>
      <vt:variant>
        <vt:lpwstr/>
      </vt:variant>
      <vt:variant>
        <vt:i4>2424885</vt:i4>
      </vt:variant>
      <vt:variant>
        <vt:i4>24</vt:i4>
      </vt:variant>
      <vt:variant>
        <vt:i4>0</vt:i4>
      </vt:variant>
      <vt:variant>
        <vt:i4>5</vt:i4>
      </vt:variant>
      <vt:variant>
        <vt:lpwstr>http://www.gdsnet.org/classes/DollarGlobalizationInequality.pdf</vt:lpwstr>
      </vt:variant>
      <vt:variant>
        <vt:lpwstr/>
      </vt:variant>
      <vt:variant>
        <vt:i4>327741</vt:i4>
      </vt:variant>
      <vt:variant>
        <vt:i4>21</vt:i4>
      </vt:variant>
      <vt:variant>
        <vt:i4>0</vt:i4>
      </vt:variant>
      <vt:variant>
        <vt:i4>5</vt:i4>
      </vt:variant>
      <vt:variant>
        <vt:lpwstr>http://www.gdsnet.org/classes/Fischer_Globalization.pdf</vt:lpwstr>
      </vt:variant>
      <vt:variant>
        <vt:lpwstr/>
      </vt:variant>
      <vt:variant>
        <vt:i4>5242967</vt:i4>
      </vt:variant>
      <vt:variant>
        <vt:i4>18</vt:i4>
      </vt:variant>
      <vt:variant>
        <vt:i4>0</vt:i4>
      </vt:variant>
      <vt:variant>
        <vt:i4>5</vt:i4>
      </vt:variant>
      <vt:variant>
        <vt:lpwstr>http://www.gdsnet.org/classes/SachsWarner1995BPEA.pdf</vt:lpwstr>
      </vt:variant>
      <vt:variant>
        <vt:lpwstr/>
      </vt:variant>
      <vt:variant>
        <vt:i4>3473508</vt:i4>
      </vt:variant>
      <vt:variant>
        <vt:i4>15</vt:i4>
      </vt:variant>
      <vt:variant>
        <vt:i4>0</vt:i4>
      </vt:variant>
      <vt:variant>
        <vt:i4>5</vt:i4>
      </vt:variant>
      <vt:variant>
        <vt:lpwstr>http://www.gdsnet.org/classes/AcemogluIntroModernGrowthChapter1.pdf</vt:lpwstr>
      </vt:variant>
      <vt:variant>
        <vt:lpwstr/>
      </vt:variant>
      <vt:variant>
        <vt:i4>7536677</vt:i4>
      </vt:variant>
      <vt:variant>
        <vt:i4>12</vt:i4>
      </vt:variant>
      <vt:variant>
        <vt:i4>0</vt:i4>
      </vt:variant>
      <vt:variant>
        <vt:i4>5</vt:i4>
      </vt:variant>
      <vt:variant>
        <vt:lpwstr>http://www.gdsnet.org/classes/BarroSalaiMartin2ndChapter11b.pdf</vt:lpwstr>
      </vt:variant>
      <vt:variant>
        <vt:lpwstr/>
      </vt:variant>
      <vt:variant>
        <vt:i4>5439543</vt:i4>
      </vt:variant>
      <vt:variant>
        <vt:i4>9</vt:i4>
      </vt:variant>
      <vt:variant>
        <vt:i4>0</vt:i4>
      </vt:variant>
      <vt:variant>
        <vt:i4>5</vt:i4>
      </vt:variant>
      <vt:variant>
        <vt:lpwstr>http://www.gdsnet.org/classes/B&amp;S_intro.pdf</vt:lpwstr>
      </vt:variant>
      <vt:variant>
        <vt:lpwstr/>
      </vt:variant>
      <vt:variant>
        <vt:i4>6422563</vt:i4>
      </vt:variant>
      <vt:variant>
        <vt:i4>6</vt:i4>
      </vt:variant>
      <vt:variant>
        <vt:i4>0</vt:i4>
      </vt:variant>
      <vt:variant>
        <vt:i4>5</vt:i4>
      </vt:variant>
      <vt:variant>
        <vt:lpwstr>http://www.gdsnet.org/classes/Sali-i-Martin-15yearsChileVolume.pdf</vt:lpwstr>
      </vt:variant>
      <vt:variant>
        <vt:lpwstr/>
      </vt:variant>
      <vt:variant>
        <vt:i4>5963848</vt:i4>
      </vt:variant>
      <vt:variant>
        <vt:i4>3</vt:i4>
      </vt:variant>
      <vt:variant>
        <vt:i4>0</vt:i4>
      </vt:variant>
      <vt:variant>
        <vt:i4>5</vt:i4>
      </vt:variant>
      <vt:variant>
        <vt:lpwstr>http://www.gdsnet.org/classes/BosworthCollins2003.pdf</vt:lpwstr>
      </vt:variant>
      <vt:variant>
        <vt:lpwstr/>
      </vt:variant>
      <vt:variant>
        <vt:i4>2228259</vt:i4>
      </vt:variant>
      <vt:variant>
        <vt:i4>0</vt:i4>
      </vt:variant>
      <vt:variant>
        <vt:i4>0</vt:i4>
      </vt:variant>
      <vt:variant>
        <vt:i4>5</vt:i4>
      </vt:variant>
      <vt:variant>
        <vt:lpwstr>http://www.gdsnet.org/classes/ThreeGrowthModels.pdf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ECGA 6470</dc:title>
  <dc:creator>DLM</dc:creator>
  <cp:lastModifiedBy>Darryl McLeod</cp:lastModifiedBy>
  <cp:revision>1</cp:revision>
  <cp:lastPrinted>2017-04-14T06:07:00Z</cp:lastPrinted>
  <dcterms:created xsi:type="dcterms:W3CDTF">2017-04-14T06:04:00Z</dcterms:created>
  <dcterms:modified xsi:type="dcterms:W3CDTF">2017-04-14T06:08:00Z</dcterms:modified>
</cp:coreProperties>
</file>